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C3" w:rsidRDefault="005C7DC3" w:rsidP="0002707A">
      <w:pPr>
        <w:rPr>
          <w:rFonts w:ascii="Times New Roman" w:hAnsi="Times New Roman" w:cs="Times New Roman"/>
          <w:color w:val="000000"/>
        </w:rPr>
      </w:pPr>
      <w:r>
        <w:rPr>
          <w:rFonts w:ascii="Times New Roman" w:hAnsi="Times New Roman" w:cs="Times New Roman"/>
          <w:color w:val="000000"/>
        </w:rPr>
        <w:t>0071Agamemnon_BrowningFuller</w:t>
      </w:r>
      <w:bookmarkStart w:id="0" w:name="_GoBack"/>
      <w:bookmarkEnd w:id="0"/>
    </w:p>
    <w:p w:rsidR="005C7DC3" w:rsidRDefault="005C7DC3" w:rsidP="0002707A">
      <w:pPr>
        <w:rPr>
          <w:rFonts w:ascii="Times New Roman" w:hAnsi="Times New Roman" w:cs="Times New Roman"/>
          <w:color w:val="000000"/>
        </w:rPr>
      </w:pPr>
    </w:p>
    <w:p w:rsidR="0002707A" w:rsidRPr="0002707A" w:rsidRDefault="0002707A" w:rsidP="0002707A">
      <w:pPr>
        <w:rPr>
          <w:rFonts w:ascii="Times" w:hAnsi="Times" w:cs="Times New Roman"/>
          <w:sz w:val="20"/>
          <w:szCs w:val="20"/>
        </w:rPr>
      </w:pPr>
      <w:r w:rsidRPr="0002707A">
        <w:rPr>
          <w:rFonts w:ascii="Times New Roman" w:hAnsi="Times New Roman" w:cs="Times New Roman"/>
          <w:color w:val="000000"/>
        </w:rPr>
        <w:t>Bert Fuller</w:t>
      </w:r>
    </w:p>
    <w:p w:rsidR="0002707A" w:rsidRPr="0002707A" w:rsidRDefault="0002707A" w:rsidP="0002707A">
      <w:pPr>
        <w:rPr>
          <w:rFonts w:ascii="Times" w:hAnsi="Times" w:cs="Times New Roman"/>
          <w:sz w:val="20"/>
          <w:szCs w:val="20"/>
        </w:rPr>
      </w:pPr>
      <w:r w:rsidRPr="0002707A">
        <w:rPr>
          <w:rFonts w:ascii="Times New Roman" w:hAnsi="Times New Roman" w:cs="Times New Roman"/>
          <w:color w:val="000000"/>
        </w:rPr>
        <w:t>Dr. Roger Macfarlane</w:t>
      </w:r>
    </w:p>
    <w:p w:rsidR="0002707A" w:rsidRPr="0002707A" w:rsidRDefault="0002707A" w:rsidP="0002707A">
      <w:pPr>
        <w:rPr>
          <w:rFonts w:ascii="Times" w:hAnsi="Times" w:cs="Times New Roman"/>
          <w:sz w:val="20"/>
          <w:szCs w:val="20"/>
        </w:rPr>
      </w:pPr>
      <w:r w:rsidRPr="0002707A">
        <w:rPr>
          <w:rFonts w:ascii="Times New Roman" w:hAnsi="Times New Roman" w:cs="Times New Roman"/>
          <w:color w:val="000000"/>
        </w:rPr>
        <w:t>CMPST 640R</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jc w:val="center"/>
        <w:rPr>
          <w:rFonts w:ascii="Times" w:hAnsi="Times" w:cs="Times New Roman"/>
          <w:sz w:val="20"/>
          <w:szCs w:val="20"/>
        </w:rPr>
      </w:pPr>
      <w:r w:rsidRPr="0002707A">
        <w:rPr>
          <w:rFonts w:ascii="Times New Roman" w:hAnsi="Times New Roman" w:cs="Times New Roman"/>
          <w:color w:val="000000"/>
        </w:rPr>
        <w:t>Final</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rPr>
          <w:rFonts w:ascii="Times" w:hAnsi="Times" w:cs="Times New Roman"/>
          <w:sz w:val="20"/>
          <w:szCs w:val="20"/>
        </w:rPr>
      </w:pPr>
      <w:r w:rsidRPr="0002707A">
        <w:rPr>
          <w:rFonts w:ascii="Times New Roman" w:hAnsi="Times New Roman" w:cs="Times New Roman"/>
          <w:b/>
          <w:bCs/>
          <w:color w:val="000000"/>
        </w:rPr>
        <w:t xml:space="preserve">Text: </w:t>
      </w:r>
      <w:r w:rsidRPr="0002707A">
        <w:rPr>
          <w:rFonts w:ascii="Times New Roman" w:hAnsi="Times New Roman" w:cs="Times New Roman"/>
          <w:i/>
          <w:iCs/>
          <w:color w:val="000000"/>
        </w:rPr>
        <w:t>The Agamemnon of Æschylus</w:t>
      </w:r>
      <w:r w:rsidRPr="0002707A">
        <w:rPr>
          <w:rFonts w:ascii="Times New Roman" w:hAnsi="Times New Roman" w:cs="Times New Roman"/>
          <w:color w:val="000000"/>
        </w:rPr>
        <w:t xml:space="preserve"> by Robert Browning</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rPr>
          <w:rFonts w:ascii="Times" w:hAnsi="Times" w:cs="Times New Roman"/>
          <w:sz w:val="20"/>
          <w:szCs w:val="20"/>
        </w:rPr>
      </w:pPr>
      <w:r w:rsidRPr="0002707A">
        <w:rPr>
          <w:rFonts w:ascii="Times New Roman" w:hAnsi="Times New Roman" w:cs="Times New Roman"/>
          <w:b/>
          <w:bCs/>
          <w:color w:val="000000"/>
        </w:rPr>
        <w:t>Some editions:</w:t>
      </w:r>
    </w:p>
    <w:p w:rsidR="0002707A" w:rsidRPr="0002707A" w:rsidRDefault="0002707A" w:rsidP="0002707A">
      <w:pPr>
        <w:numPr>
          <w:ilvl w:val="0"/>
          <w:numId w:val="1"/>
        </w:numPr>
        <w:textAlignment w:val="baseline"/>
        <w:rPr>
          <w:rFonts w:ascii="Times New Roman" w:hAnsi="Times New Roman" w:cs="Times New Roman"/>
          <w:color w:val="000000"/>
        </w:rPr>
      </w:pPr>
      <w:r w:rsidRPr="0002707A">
        <w:rPr>
          <w:rFonts w:ascii="Times New Roman" w:hAnsi="Times New Roman" w:cs="Times New Roman"/>
          <w:color w:val="000000"/>
        </w:rPr>
        <w:t>Browning, Robert. “</w:t>
      </w:r>
      <w:r w:rsidRPr="0002707A">
        <w:rPr>
          <w:rFonts w:ascii="Times New Roman" w:hAnsi="Times New Roman" w:cs="Times New Roman"/>
          <w:i/>
          <w:iCs/>
          <w:color w:val="000000"/>
        </w:rPr>
        <w:t>The Agamemnon of Æschylus</w:t>
      </w:r>
      <w:r w:rsidRPr="0002707A">
        <w:rPr>
          <w:rFonts w:ascii="Times New Roman" w:hAnsi="Times New Roman" w:cs="Times New Roman"/>
          <w:color w:val="000000"/>
        </w:rPr>
        <w:t xml:space="preserve">.” In </w:t>
      </w:r>
      <w:r w:rsidRPr="0002707A">
        <w:rPr>
          <w:rFonts w:ascii="Times New Roman" w:hAnsi="Times New Roman" w:cs="Times New Roman"/>
          <w:i/>
          <w:iCs/>
          <w:color w:val="000000"/>
        </w:rPr>
        <w:t>The Agamemnon of Æschylus, La Saisaiz, The Two Poets of Croisic, Dramatic Idyls, Jocoseria, Ferishtah’s Fancies and Parleyings</w:t>
      </w:r>
      <w:r w:rsidRPr="0002707A">
        <w:rPr>
          <w:rFonts w:ascii="Times New Roman" w:hAnsi="Times New Roman" w:cs="Times New Roman"/>
          <w:color w:val="000000"/>
        </w:rPr>
        <w:t xml:space="preserve">. The Poetic and Dramatic Works of Robert Browning, 6 vols. Boston: Houghton Mifflin, 1983. 6:1–52. [The edition I used; available at </w:t>
      </w:r>
      <w:hyperlink r:id="rId6" w:history="1">
        <w:r w:rsidRPr="0002707A">
          <w:rPr>
            <w:rFonts w:ascii="Times New Roman" w:hAnsi="Times New Roman" w:cs="Times New Roman"/>
            <w:color w:val="1155CC"/>
            <w:u w:val="single"/>
          </w:rPr>
          <w:t>archive.org</w:t>
        </w:r>
      </w:hyperlink>
      <w:r w:rsidRPr="0002707A">
        <w:rPr>
          <w:rFonts w:ascii="Times New Roman" w:hAnsi="Times New Roman" w:cs="Times New Roman"/>
          <w:color w:val="000000"/>
        </w:rPr>
        <w:t>.]</w:t>
      </w:r>
    </w:p>
    <w:p w:rsidR="0002707A" w:rsidRPr="0002707A" w:rsidRDefault="0002707A" w:rsidP="0002707A">
      <w:pPr>
        <w:numPr>
          <w:ilvl w:val="0"/>
          <w:numId w:val="1"/>
        </w:numPr>
        <w:textAlignment w:val="baseline"/>
        <w:rPr>
          <w:rFonts w:ascii="Times New Roman" w:hAnsi="Times New Roman" w:cs="Times New Roman"/>
          <w:color w:val="000000"/>
        </w:rPr>
      </w:pPr>
      <w:r w:rsidRPr="0002707A">
        <w:rPr>
          <w:rFonts w:ascii="Times New Roman" w:hAnsi="Times New Roman" w:cs="Times New Roman"/>
          <w:color w:val="000000"/>
        </w:rPr>
        <w:t>———. “</w:t>
      </w:r>
      <w:r w:rsidRPr="0002707A">
        <w:rPr>
          <w:rFonts w:ascii="Times New Roman" w:hAnsi="Times New Roman" w:cs="Times New Roman"/>
          <w:i/>
          <w:iCs/>
          <w:color w:val="000000"/>
        </w:rPr>
        <w:t>The Agamemnon of Æschylus</w:t>
      </w:r>
      <w:r w:rsidRPr="0002707A">
        <w:rPr>
          <w:rFonts w:ascii="Times New Roman" w:hAnsi="Times New Roman" w:cs="Times New Roman"/>
          <w:color w:val="000000"/>
        </w:rPr>
        <w:t xml:space="preserve">.” In </w:t>
      </w:r>
      <w:r w:rsidRPr="0002707A">
        <w:rPr>
          <w:rFonts w:ascii="Times New Roman" w:hAnsi="Times New Roman" w:cs="Times New Roman"/>
          <w:i/>
          <w:iCs/>
          <w:color w:val="000000"/>
        </w:rPr>
        <w:t>The Complete Works of Robert Browning, Volume XIV,</w:t>
      </w:r>
      <w:r w:rsidRPr="0002707A">
        <w:rPr>
          <w:rFonts w:ascii="Times New Roman" w:hAnsi="Times New Roman" w:cs="Times New Roman"/>
          <w:color w:val="000000"/>
        </w:rPr>
        <w:t xml:space="preserve"> </w:t>
      </w:r>
      <w:r w:rsidRPr="0002707A">
        <w:rPr>
          <w:rFonts w:ascii="Times New Roman" w:hAnsi="Times New Roman" w:cs="Times New Roman"/>
          <w:i/>
          <w:iCs/>
          <w:color w:val="000000"/>
        </w:rPr>
        <w:t>with Variant Readings and Annotations</w:t>
      </w:r>
      <w:r w:rsidRPr="0002707A">
        <w:rPr>
          <w:rFonts w:ascii="Times New Roman" w:hAnsi="Times New Roman" w:cs="Times New Roman"/>
          <w:color w:val="000000"/>
        </w:rPr>
        <w:t xml:space="preserve">. Ed. John Berkey, Paul Turner, Michael Bright, and David Ewbank. Athens, Ohio: Ohio University Press, 2003. 3–92. [Ordered print copy through ILL; available online via HBLL website, </w:t>
      </w:r>
      <w:hyperlink r:id="rId7" w:history="1">
        <w:r w:rsidRPr="0002707A">
          <w:rPr>
            <w:rFonts w:ascii="Times New Roman" w:hAnsi="Times New Roman" w:cs="Times New Roman"/>
            <w:color w:val="1155CC"/>
            <w:u w:val="single"/>
          </w:rPr>
          <w:t>here</w:t>
        </w:r>
      </w:hyperlink>
      <w:r w:rsidRPr="0002707A">
        <w:rPr>
          <w:rFonts w:ascii="Times New Roman" w:hAnsi="Times New Roman" w:cs="Times New Roman"/>
          <w:color w:val="000000"/>
        </w:rPr>
        <w:t>.]</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rPr>
          <w:rFonts w:ascii="Times" w:hAnsi="Times" w:cs="Times New Roman"/>
          <w:sz w:val="20"/>
          <w:szCs w:val="20"/>
        </w:rPr>
      </w:pPr>
      <w:r w:rsidRPr="0002707A">
        <w:rPr>
          <w:rFonts w:ascii="Times New Roman" w:hAnsi="Times New Roman" w:cs="Times New Roman"/>
          <w:b/>
          <w:bCs/>
          <w:color w:val="000000"/>
        </w:rPr>
        <w:t>Some studies:</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Benitez, E. E. 2004. “On Literal Translation: Robert Browning and the </w:t>
      </w:r>
      <w:r w:rsidRPr="0002707A">
        <w:rPr>
          <w:rFonts w:ascii="Times New Roman" w:hAnsi="Times New Roman" w:cs="Times New Roman"/>
          <w:i/>
          <w:iCs/>
          <w:color w:val="000000"/>
        </w:rPr>
        <w:t>Agamemnon</w:t>
      </w:r>
      <w:r w:rsidRPr="0002707A">
        <w:rPr>
          <w:rFonts w:ascii="Times New Roman" w:hAnsi="Times New Roman" w:cs="Times New Roman"/>
          <w:color w:val="000000"/>
        </w:rPr>
        <w:t xml:space="preserve">.” </w:t>
      </w:r>
      <w:r w:rsidRPr="0002707A">
        <w:rPr>
          <w:rFonts w:ascii="Times New Roman" w:hAnsi="Times New Roman" w:cs="Times New Roman"/>
          <w:i/>
          <w:iCs/>
          <w:color w:val="000000"/>
        </w:rPr>
        <w:t xml:space="preserve">Philosophy and Literature </w:t>
      </w:r>
      <w:r w:rsidRPr="0002707A">
        <w:rPr>
          <w:rFonts w:ascii="Times New Roman" w:hAnsi="Times New Roman" w:cs="Times New Roman"/>
          <w:color w:val="000000"/>
        </w:rPr>
        <w:t>28, no. 2, 259–68.</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DeVane, William Clyde. 1955. </w:t>
      </w:r>
      <w:r w:rsidRPr="0002707A">
        <w:rPr>
          <w:rFonts w:ascii="Times New Roman" w:hAnsi="Times New Roman" w:cs="Times New Roman"/>
          <w:i/>
          <w:iCs/>
          <w:color w:val="000000"/>
        </w:rPr>
        <w:t>A Browning Handbook</w:t>
      </w:r>
      <w:r w:rsidRPr="0002707A">
        <w:rPr>
          <w:rFonts w:ascii="Times New Roman" w:hAnsi="Times New Roman" w:cs="Times New Roman"/>
          <w:color w:val="000000"/>
        </w:rPr>
        <w:t>. New York: Appleton-Century-Crofts.</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Litzinger, Boyd Anthony and Donald Smalley, </w:t>
      </w:r>
      <w:proofErr w:type="gramStart"/>
      <w:r w:rsidRPr="0002707A">
        <w:rPr>
          <w:rFonts w:ascii="Times New Roman" w:hAnsi="Times New Roman" w:cs="Times New Roman"/>
          <w:color w:val="000000"/>
        </w:rPr>
        <w:t>eds</w:t>
      </w:r>
      <w:proofErr w:type="gramEnd"/>
      <w:r w:rsidRPr="0002707A">
        <w:rPr>
          <w:rFonts w:ascii="Times New Roman" w:hAnsi="Times New Roman" w:cs="Times New Roman"/>
          <w:color w:val="000000"/>
        </w:rPr>
        <w:t xml:space="preserve">. 1970. </w:t>
      </w:r>
      <w:r w:rsidRPr="0002707A">
        <w:rPr>
          <w:rFonts w:ascii="Times New Roman" w:hAnsi="Times New Roman" w:cs="Times New Roman"/>
          <w:i/>
          <w:iCs/>
          <w:color w:val="000000"/>
        </w:rPr>
        <w:t>Robert Browning: The Critical Heritage</w:t>
      </w:r>
      <w:r w:rsidRPr="0002707A">
        <w:rPr>
          <w:rFonts w:ascii="Times New Roman" w:hAnsi="Times New Roman" w:cs="Times New Roman"/>
          <w:color w:val="000000"/>
        </w:rPr>
        <w:t>. New York: Routledge.</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Prins, Yopie. 1989. “‘Violence Bridling Speech’: Browning’s Translation of Aeschylus’ </w:t>
      </w:r>
      <w:r w:rsidRPr="0002707A">
        <w:rPr>
          <w:rFonts w:ascii="Times New Roman" w:hAnsi="Times New Roman" w:cs="Times New Roman"/>
          <w:i/>
          <w:iCs/>
          <w:color w:val="000000"/>
        </w:rPr>
        <w:t>Agamemnon</w:t>
      </w:r>
      <w:r w:rsidRPr="0002707A">
        <w:rPr>
          <w:rFonts w:ascii="Times New Roman" w:hAnsi="Times New Roman" w:cs="Times New Roman"/>
          <w:color w:val="000000"/>
        </w:rPr>
        <w:t xml:space="preserve">.” </w:t>
      </w:r>
      <w:r w:rsidRPr="0002707A">
        <w:rPr>
          <w:rFonts w:ascii="Times New Roman" w:hAnsi="Times New Roman" w:cs="Times New Roman"/>
          <w:i/>
          <w:iCs/>
          <w:color w:val="000000"/>
        </w:rPr>
        <w:t>Victorian Poetry</w:t>
      </w:r>
      <w:r w:rsidRPr="0002707A">
        <w:rPr>
          <w:rFonts w:ascii="Times New Roman" w:hAnsi="Times New Roman" w:cs="Times New Roman"/>
          <w:color w:val="000000"/>
        </w:rPr>
        <w:t xml:space="preserve"> 27, no. 3/4, 151–70.</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Roberts, Adam. 1991. “A Source for Browning’s </w:t>
      </w:r>
      <w:r w:rsidRPr="0002707A">
        <w:rPr>
          <w:rFonts w:ascii="Times New Roman" w:hAnsi="Times New Roman" w:cs="Times New Roman"/>
          <w:i/>
          <w:iCs/>
          <w:color w:val="000000"/>
        </w:rPr>
        <w:t>Agamemnon</w:t>
      </w:r>
      <w:r w:rsidRPr="0002707A">
        <w:rPr>
          <w:rFonts w:ascii="Times New Roman" w:hAnsi="Times New Roman" w:cs="Times New Roman"/>
          <w:color w:val="000000"/>
        </w:rPr>
        <w:t xml:space="preserve">.” </w:t>
      </w:r>
      <w:r w:rsidRPr="0002707A">
        <w:rPr>
          <w:rFonts w:ascii="Times New Roman" w:hAnsi="Times New Roman" w:cs="Times New Roman"/>
          <w:i/>
          <w:iCs/>
          <w:color w:val="000000"/>
        </w:rPr>
        <w:t>Victorian Poetry</w:t>
      </w:r>
      <w:r w:rsidRPr="0002707A">
        <w:rPr>
          <w:rFonts w:ascii="Times New Roman" w:hAnsi="Times New Roman" w:cs="Times New Roman"/>
          <w:color w:val="000000"/>
        </w:rPr>
        <w:t xml:space="preserve"> 29, no. 2, 180–83.</w:t>
      </w:r>
    </w:p>
    <w:p w:rsidR="0002707A" w:rsidRPr="0002707A" w:rsidRDefault="0002707A" w:rsidP="0002707A">
      <w:pPr>
        <w:numPr>
          <w:ilvl w:val="0"/>
          <w:numId w:val="2"/>
        </w:numPr>
        <w:textAlignment w:val="baseline"/>
        <w:rPr>
          <w:rFonts w:ascii="Times New Roman" w:hAnsi="Times New Roman" w:cs="Times New Roman"/>
          <w:color w:val="000000"/>
        </w:rPr>
      </w:pPr>
      <w:r w:rsidRPr="0002707A">
        <w:rPr>
          <w:rFonts w:ascii="Times New Roman" w:hAnsi="Times New Roman" w:cs="Times New Roman"/>
          <w:color w:val="000000"/>
        </w:rPr>
        <w:t xml:space="preserve">Turtle, Will. 2005. “‘The Truth of Mere Transcript’: Browning’s </w:t>
      </w:r>
      <w:r w:rsidRPr="0002707A">
        <w:rPr>
          <w:rFonts w:ascii="Times New Roman" w:hAnsi="Times New Roman" w:cs="Times New Roman"/>
          <w:i/>
          <w:iCs/>
          <w:color w:val="000000"/>
        </w:rPr>
        <w:t>Agamemnon</w:t>
      </w:r>
      <w:r w:rsidRPr="0002707A">
        <w:rPr>
          <w:rFonts w:ascii="Times New Roman" w:hAnsi="Times New Roman" w:cs="Times New Roman"/>
          <w:color w:val="000000"/>
        </w:rPr>
        <w:t xml:space="preserve">.” </w:t>
      </w:r>
      <w:r w:rsidRPr="0002707A">
        <w:rPr>
          <w:rFonts w:ascii="Times New Roman" w:hAnsi="Times New Roman" w:cs="Times New Roman"/>
          <w:i/>
          <w:iCs/>
          <w:color w:val="000000"/>
        </w:rPr>
        <w:t xml:space="preserve">Translation and Literature </w:t>
      </w:r>
      <w:r w:rsidRPr="0002707A">
        <w:rPr>
          <w:rFonts w:ascii="Times New Roman" w:hAnsi="Times New Roman" w:cs="Times New Roman"/>
          <w:color w:val="000000"/>
        </w:rPr>
        <w:t>14, no. 2, 196–211.</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rPr>
          <w:rFonts w:ascii="Times" w:hAnsi="Times" w:cs="Times New Roman"/>
          <w:sz w:val="20"/>
          <w:szCs w:val="20"/>
        </w:rPr>
      </w:pPr>
      <w:r w:rsidRPr="0002707A">
        <w:rPr>
          <w:rFonts w:ascii="Times New Roman" w:hAnsi="Times New Roman" w:cs="Times New Roman"/>
          <w:b/>
          <w:bCs/>
          <w:color w:val="000000"/>
        </w:rPr>
        <w:t>Some information:</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Robert Browning (1812–1889)</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Translation first published 1877, when Browning was 65.</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 xml:space="preserve">Dedicated to Thomas Carlyle (1795–1881), who had told Browning, “Ye ought to translate the whole of the Greek tragedians—that’s your vocation” (DeVane, 415), but </w:t>
      </w:r>
      <w:proofErr w:type="gramStart"/>
      <w:r w:rsidRPr="0002707A">
        <w:rPr>
          <w:rFonts w:ascii="Times New Roman" w:hAnsi="Times New Roman" w:cs="Times New Roman"/>
          <w:color w:val="000000"/>
        </w:rPr>
        <w:t xml:space="preserve">who was embarrassed by being associated with Browning’s </w:t>
      </w:r>
      <w:r w:rsidRPr="0002707A">
        <w:rPr>
          <w:rFonts w:ascii="Times New Roman" w:hAnsi="Times New Roman" w:cs="Times New Roman"/>
          <w:i/>
          <w:iCs/>
          <w:color w:val="000000"/>
        </w:rPr>
        <w:t>Agamemnon</w:t>
      </w:r>
      <w:proofErr w:type="gramEnd"/>
      <w:r w:rsidRPr="0002707A">
        <w:rPr>
          <w:rFonts w:ascii="Times New Roman" w:hAnsi="Times New Roman" w:cs="Times New Roman"/>
          <w:color w:val="000000"/>
        </w:rPr>
        <w:t xml:space="preserve">: “Yes, Browning says I ordered him to do this translation . . . but O dear! </w:t>
      </w:r>
      <w:proofErr w:type="gramStart"/>
      <w:r w:rsidRPr="0002707A">
        <w:rPr>
          <w:rFonts w:ascii="Times New Roman" w:hAnsi="Times New Roman" w:cs="Times New Roman"/>
          <w:color w:val="000000"/>
        </w:rPr>
        <w:t>he’s</w:t>
      </w:r>
      <w:proofErr w:type="gramEnd"/>
      <w:r w:rsidRPr="0002707A">
        <w:rPr>
          <w:rFonts w:ascii="Times New Roman" w:hAnsi="Times New Roman" w:cs="Times New Roman"/>
          <w:color w:val="000000"/>
        </w:rPr>
        <w:t xml:space="preserve"> a very foolish fellow. He picks you out the English for the Greek word by word, and now and again sticks two or three words together with hyphens; then again he snips up the sense and jingles it into rhyme! I could have told him </w:t>
      </w:r>
      <w:r w:rsidRPr="0002707A">
        <w:rPr>
          <w:rFonts w:ascii="Times New Roman" w:hAnsi="Times New Roman" w:cs="Times New Roman"/>
          <w:color w:val="000000"/>
        </w:rPr>
        <w:lastRenderedPageBreak/>
        <w:t>he could do no good whatever under such conditions” (Litzinger and Smalley, 432–33).</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Contains a 3-page preface outlining Browning’s translation strategy.</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 xml:space="preserve">Browning translated F. A. Paley’s 1870 </w:t>
      </w:r>
      <w:r w:rsidRPr="0002707A">
        <w:rPr>
          <w:rFonts w:ascii="Times New Roman" w:hAnsi="Times New Roman" w:cs="Times New Roman"/>
          <w:i/>
          <w:iCs/>
          <w:color w:val="000000"/>
        </w:rPr>
        <w:t>Agamemnon</w:t>
      </w:r>
      <w:r w:rsidRPr="0002707A">
        <w:rPr>
          <w:rFonts w:ascii="Times New Roman" w:hAnsi="Times New Roman" w:cs="Times New Roman"/>
          <w:color w:val="000000"/>
        </w:rPr>
        <w:t>.</w:t>
      </w:r>
    </w:p>
    <w:p w:rsidR="0002707A" w:rsidRPr="0002707A" w:rsidRDefault="0002707A" w:rsidP="0002707A">
      <w:pPr>
        <w:numPr>
          <w:ilvl w:val="0"/>
          <w:numId w:val="3"/>
        </w:numPr>
        <w:textAlignment w:val="baseline"/>
        <w:rPr>
          <w:rFonts w:ascii="Times New Roman" w:hAnsi="Times New Roman" w:cs="Times New Roman"/>
          <w:color w:val="000000"/>
        </w:rPr>
      </w:pPr>
      <w:r w:rsidRPr="0002707A">
        <w:rPr>
          <w:rFonts w:ascii="Times New Roman" w:hAnsi="Times New Roman" w:cs="Times New Roman"/>
          <w:color w:val="000000"/>
        </w:rPr>
        <w:t>1734 lines.</w:t>
      </w:r>
    </w:p>
    <w:p w:rsidR="0002707A" w:rsidRPr="0002707A" w:rsidRDefault="0002707A" w:rsidP="0002707A">
      <w:pPr>
        <w:rPr>
          <w:rFonts w:ascii="Times" w:eastAsia="Times New Roman" w:hAnsi="Times" w:cs="Times New Roman"/>
          <w:sz w:val="20"/>
          <w:szCs w:val="20"/>
        </w:rPr>
      </w:pPr>
    </w:p>
    <w:p w:rsidR="0002707A" w:rsidRPr="0002707A" w:rsidRDefault="0002707A" w:rsidP="0002707A">
      <w:pPr>
        <w:rPr>
          <w:rFonts w:ascii="Times" w:hAnsi="Times" w:cs="Times New Roman"/>
          <w:sz w:val="20"/>
          <w:szCs w:val="20"/>
        </w:rPr>
      </w:pPr>
      <w:r w:rsidRPr="0002707A">
        <w:rPr>
          <w:rFonts w:ascii="Times New Roman" w:hAnsi="Times New Roman" w:cs="Times New Roman"/>
          <w:b/>
          <w:bCs/>
          <w:color w:val="000000"/>
        </w:rPr>
        <w:t>Some observations:</w:t>
      </w:r>
    </w:p>
    <w:p w:rsidR="0002707A" w:rsidRPr="0002707A" w:rsidRDefault="0002707A" w:rsidP="0002707A">
      <w:pPr>
        <w:numPr>
          <w:ilvl w:val="0"/>
          <w:numId w:val="4"/>
        </w:numPr>
        <w:textAlignment w:val="baseline"/>
        <w:rPr>
          <w:rFonts w:ascii="Times New Roman" w:hAnsi="Times New Roman" w:cs="Times New Roman"/>
          <w:color w:val="000000"/>
        </w:rPr>
      </w:pPr>
      <w:r w:rsidRPr="0002707A">
        <w:rPr>
          <w:rFonts w:ascii="Times New Roman" w:hAnsi="Times New Roman" w:cs="Times New Roman"/>
          <w:color w:val="000000"/>
        </w:rPr>
        <w:t xml:space="preserve">I wanted to read this poem for several reasons; I mention two. First, I thought </w:t>
      </w:r>
      <w:r w:rsidRPr="0002707A">
        <w:rPr>
          <w:rFonts w:ascii="Times New Roman" w:hAnsi="Times New Roman" w:cs="Times New Roman"/>
          <w:i/>
          <w:iCs/>
          <w:color w:val="000000"/>
        </w:rPr>
        <w:t xml:space="preserve">The Browning Version </w:t>
      </w:r>
      <w:r w:rsidRPr="0002707A">
        <w:rPr>
          <w:rFonts w:ascii="Times New Roman" w:hAnsi="Times New Roman" w:cs="Times New Roman"/>
          <w:color w:val="000000"/>
        </w:rPr>
        <w:t>was an excellent film and wanted to be better acquainted with its source material. Second, Robert Browning is a towering figure in modern English poetry, and I remain almost completely ignorant of his work.</w:t>
      </w:r>
    </w:p>
    <w:p w:rsidR="0002707A" w:rsidRPr="0002707A" w:rsidRDefault="0002707A" w:rsidP="0002707A">
      <w:pPr>
        <w:numPr>
          <w:ilvl w:val="0"/>
          <w:numId w:val="4"/>
        </w:numPr>
        <w:textAlignment w:val="baseline"/>
        <w:rPr>
          <w:rFonts w:ascii="Times New Roman" w:hAnsi="Times New Roman" w:cs="Times New Roman"/>
          <w:color w:val="000000"/>
        </w:rPr>
      </w:pPr>
      <w:r w:rsidRPr="0002707A">
        <w:rPr>
          <w:rFonts w:ascii="Times New Roman" w:hAnsi="Times New Roman" w:cs="Times New Roman"/>
          <w:color w:val="000000"/>
        </w:rPr>
        <w:t>When I opened the text, I was almost instantly disappointed: “The gods I ask deliverance from these labors, / Watch of a year’s length whereby, slumbering through it / On the Atreidai’s roofs on elbow</w:t>
      </w:r>
      <w:proofErr w:type="gramStart"/>
      <w:r w:rsidRPr="0002707A">
        <w:rPr>
          <w:rFonts w:ascii="Times New Roman" w:hAnsi="Times New Roman" w:cs="Times New Roman"/>
          <w:color w:val="000000"/>
        </w:rPr>
        <w:t>,—</w:t>
      </w:r>
      <w:proofErr w:type="gramEnd"/>
      <w:r w:rsidRPr="0002707A">
        <w:rPr>
          <w:rFonts w:ascii="Times New Roman" w:hAnsi="Times New Roman" w:cs="Times New Roman"/>
          <w:color w:val="000000"/>
        </w:rPr>
        <w:t>dog-like—” (ll. 1–3); or</w:t>
      </w:r>
    </w:p>
    <w:p w:rsidR="0002707A" w:rsidRPr="0002707A" w:rsidRDefault="0002707A" w:rsidP="0002707A">
      <w:pPr>
        <w:ind w:left="1800"/>
        <w:rPr>
          <w:rFonts w:ascii="Times" w:hAnsi="Times" w:cs="Times New Roman"/>
          <w:sz w:val="20"/>
          <w:szCs w:val="20"/>
        </w:rPr>
      </w:pPr>
      <w:r w:rsidRPr="0002707A">
        <w:rPr>
          <w:rFonts w:ascii="Times New Roman" w:hAnsi="Times New Roman" w:cs="Times New Roman"/>
          <w:i/>
          <w:iCs/>
          <w:color w:val="000000"/>
        </w:rPr>
        <w:t>Choros</w:t>
      </w:r>
      <w:r w:rsidRPr="0002707A">
        <w:rPr>
          <w:rFonts w:ascii="Times New Roman" w:hAnsi="Times New Roman" w:cs="Times New Roman"/>
          <w:color w:val="000000"/>
        </w:rPr>
        <w:t>. Boast on, bearing thee audacious, like a cock his females by!</w:t>
      </w:r>
    </w:p>
    <w:p w:rsidR="0002707A" w:rsidRPr="0002707A" w:rsidRDefault="0002707A" w:rsidP="0002707A">
      <w:pPr>
        <w:ind w:left="1800"/>
        <w:rPr>
          <w:rFonts w:ascii="Times" w:hAnsi="Times" w:cs="Times New Roman"/>
          <w:sz w:val="20"/>
          <w:szCs w:val="20"/>
        </w:rPr>
      </w:pPr>
      <w:r w:rsidRPr="0002707A">
        <w:rPr>
          <w:rFonts w:ascii="Times New Roman" w:hAnsi="Times New Roman" w:cs="Times New Roman"/>
          <w:i/>
          <w:iCs/>
          <w:color w:val="000000"/>
        </w:rPr>
        <w:t>Klutaimnestra</w:t>
      </w:r>
      <w:r w:rsidRPr="0002707A">
        <w:rPr>
          <w:rFonts w:ascii="Times New Roman" w:hAnsi="Times New Roman" w:cs="Times New Roman"/>
          <w:color w:val="000000"/>
        </w:rPr>
        <w:t xml:space="preserve">. Have not thou respect for these same idle yelpings! </w:t>
      </w:r>
      <w:proofErr w:type="gramStart"/>
      <w:r w:rsidRPr="0002707A">
        <w:rPr>
          <w:rFonts w:ascii="Times New Roman" w:hAnsi="Times New Roman" w:cs="Times New Roman"/>
          <w:color w:val="000000"/>
        </w:rPr>
        <w:t>I and thou</w:t>
      </w:r>
      <w:proofErr w:type="gramEnd"/>
    </w:p>
    <w:p w:rsidR="0002707A" w:rsidRPr="0002707A" w:rsidRDefault="0002707A" w:rsidP="0002707A">
      <w:pPr>
        <w:ind w:left="1800"/>
        <w:rPr>
          <w:rFonts w:ascii="Times" w:hAnsi="Times" w:cs="Times New Roman"/>
          <w:sz w:val="20"/>
          <w:szCs w:val="20"/>
        </w:rPr>
      </w:pPr>
      <w:r w:rsidRPr="0002707A">
        <w:rPr>
          <w:rFonts w:ascii="Times New Roman" w:hAnsi="Times New Roman" w:cs="Times New Roman"/>
          <w:color w:val="000000"/>
        </w:rPr>
        <w:t>Will arrange it, ruling o’er this household excellently well. (</w:t>
      </w:r>
      <w:proofErr w:type="gramStart"/>
      <w:r w:rsidRPr="0002707A">
        <w:rPr>
          <w:rFonts w:ascii="Times New Roman" w:hAnsi="Times New Roman" w:cs="Times New Roman"/>
          <w:color w:val="000000"/>
        </w:rPr>
        <w:t>ll</w:t>
      </w:r>
      <w:proofErr w:type="gramEnd"/>
      <w:r w:rsidRPr="0002707A">
        <w:rPr>
          <w:rFonts w:ascii="Times New Roman" w:hAnsi="Times New Roman" w:cs="Times New Roman"/>
          <w:color w:val="000000"/>
        </w:rPr>
        <w:t>. 1731–34)</w:t>
      </w:r>
    </w:p>
    <w:p w:rsidR="0002707A" w:rsidRPr="0002707A" w:rsidRDefault="0002707A" w:rsidP="0002707A">
      <w:pPr>
        <w:ind w:left="720"/>
        <w:rPr>
          <w:rFonts w:ascii="Times" w:hAnsi="Times" w:cs="Times New Roman"/>
          <w:sz w:val="20"/>
          <w:szCs w:val="20"/>
        </w:rPr>
      </w:pPr>
      <w:r w:rsidRPr="0002707A">
        <w:rPr>
          <w:rFonts w:ascii="Times New Roman" w:hAnsi="Times New Roman" w:cs="Times New Roman"/>
          <w:color w:val="000000"/>
        </w:rPr>
        <w:t xml:space="preserve">Any </w:t>
      </w:r>
      <w:r w:rsidRPr="0002707A">
        <w:rPr>
          <w:rFonts w:ascii="Times New Roman" w:hAnsi="Times New Roman" w:cs="Times New Roman"/>
          <w:i/>
          <w:iCs/>
          <w:color w:val="000000"/>
        </w:rPr>
        <w:t>sors Browningilis</w:t>
      </w:r>
      <w:r w:rsidRPr="0002707A">
        <w:rPr>
          <w:rFonts w:ascii="Times New Roman" w:hAnsi="Times New Roman" w:cs="Times New Roman"/>
          <w:color w:val="000000"/>
        </w:rPr>
        <w:t xml:space="preserve"> in this text will present the reader with a passage equally baffling. I could have chosen my examples at random, but the choice of first and last should give the impression for the whole way through. Browning claims in the preface “I should require [a translator] </w:t>
      </w:r>
      <w:proofErr w:type="gramStart"/>
      <w:r w:rsidRPr="0002707A">
        <w:rPr>
          <w:rFonts w:ascii="Times New Roman" w:hAnsi="Times New Roman" w:cs="Times New Roman"/>
          <w:color w:val="000000"/>
        </w:rPr>
        <w:t>to be</w:t>
      </w:r>
      <w:proofErr w:type="gramEnd"/>
      <w:r w:rsidRPr="0002707A">
        <w:rPr>
          <w:rFonts w:ascii="Times New Roman" w:hAnsi="Times New Roman" w:cs="Times New Roman"/>
          <w:color w:val="000000"/>
        </w:rPr>
        <w:t xml:space="preserve"> literal at every cost save that of absolute violence to our language.” He must have been aware that in his translation Browning erred on the side of liberal violence.</w:t>
      </w:r>
    </w:p>
    <w:p w:rsidR="0002707A" w:rsidRPr="0002707A" w:rsidRDefault="0002707A" w:rsidP="0002707A">
      <w:pPr>
        <w:numPr>
          <w:ilvl w:val="0"/>
          <w:numId w:val="5"/>
        </w:numPr>
        <w:textAlignment w:val="baseline"/>
        <w:rPr>
          <w:rFonts w:ascii="Times New Roman" w:hAnsi="Times New Roman" w:cs="Times New Roman"/>
          <w:color w:val="000000"/>
        </w:rPr>
      </w:pPr>
      <w:r w:rsidRPr="0002707A">
        <w:rPr>
          <w:rFonts w:ascii="Times New Roman" w:hAnsi="Times New Roman" w:cs="Times New Roman"/>
          <w:color w:val="000000"/>
        </w:rPr>
        <w:t xml:space="preserve">You can imagine my relief when other critics reacted similarly, not just Carlyle. Swinburne: “beyond belief—or caricature”; and Pound: “a stilted unsayable jargon” (see Prins, 169). Sir Fredric Kenyon: “[a] perverse </w:t>
      </w:r>
      <w:r w:rsidRPr="0002707A">
        <w:rPr>
          <w:rFonts w:ascii="Times New Roman" w:hAnsi="Times New Roman" w:cs="Times New Roman"/>
          <w:i/>
          <w:iCs/>
          <w:color w:val="000000"/>
        </w:rPr>
        <w:t>tour de fource</w:t>
      </w:r>
      <w:r w:rsidRPr="0002707A">
        <w:rPr>
          <w:rFonts w:ascii="Times New Roman" w:hAnsi="Times New Roman" w:cs="Times New Roman"/>
          <w:color w:val="000000"/>
        </w:rPr>
        <w:t>”; and William Devane: “[a] strange perversity” (see DeVane, 414–19). Nevertheless, Yopie Prins says it best: “But perhaps this perversity is worth exploring in detail,” which she does brilliantly with the help of George Steiner and Walter Benjamin (151). (Prins herself is a brilliant polyglot Victorianist with degrees in Greek, comparative literature, English, and translation studies.)</w:t>
      </w:r>
    </w:p>
    <w:p w:rsidR="0002707A" w:rsidRPr="0002707A" w:rsidRDefault="0002707A" w:rsidP="0002707A">
      <w:pPr>
        <w:numPr>
          <w:ilvl w:val="0"/>
          <w:numId w:val="5"/>
        </w:numPr>
        <w:textAlignment w:val="baseline"/>
        <w:rPr>
          <w:rFonts w:ascii="Times New Roman" w:hAnsi="Times New Roman" w:cs="Times New Roman"/>
          <w:color w:val="000000"/>
        </w:rPr>
      </w:pPr>
      <w:r w:rsidRPr="0002707A">
        <w:rPr>
          <w:rFonts w:ascii="Times New Roman" w:hAnsi="Times New Roman" w:cs="Times New Roman"/>
          <w:color w:val="000000"/>
        </w:rPr>
        <w:t>Browning’s reception of Aeschylus is stunning precisely because (quoting Prins again) “Browning’s refusal to suppress the ambiguities of such a text (‘what seems to lie in it’) is significant. Reading is meant to be hard work: rather than exercising the scholar’s ‘privilege’ [i.e., private reading, or law unto one] of ‘clearing the way’ for meaning, Browning’s task as translator is to preserve ‘each obstacle’ in the original text . . . Browning aspires to a ‘poetry of obstacles’” (158). He chooses the path of most resistance.</w:t>
      </w:r>
    </w:p>
    <w:p w:rsidR="0002707A" w:rsidRPr="0002707A" w:rsidRDefault="0002707A" w:rsidP="0002707A">
      <w:pPr>
        <w:numPr>
          <w:ilvl w:val="0"/>
          <w:numId w:val="5"/>
        </w:numPr>
        <w:textAlignment w:val="baseline"/>
        <w:rPr>
          <w:rFonts w:ascii="Times New Roman" w:hAnsi="Times New Roman" w:cs="Times New Roman"/>
          <w:color w:val="000000"/>
        </w:rPr>
      </w:pPr>
      <w:r w:rsidRPr="0002707A">
        <w:rPr>
          <w:rFonts w:ascii="Times New Roman" w:hAnsi="Times New Roman" w:cs="Times New Roman"/>
          <w:color w:val="000000"/>
        </w:rPr>
        <w:t>In conclusion, Browning’s narrative gain is the fact that he exerts great effort to keep the text obscure. As one Oxford B.A. supposedly said, “At almost every page I had to turn to the Greek to see what the English meant” ((Litzinger and Smalley, 443). He does so to remind readers (should there be any) that the Greek is distant from us. The English, where it should familiarize, has an estranging effect. To be frank, it makes me very uncomfortable, which is why I will return to it in the future.</w:t>
      </w:r>
    </w:p>
    <w:p w:rsidR="00271B20" w:rsidRDefault="00271B20"/>
    <w:sectPr w:rsidR="00271B20" w:rsidSect="00161C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ADD"/>
    <w:multiLevelType w:val="multilevel"/>
    <w:tmpl w:val="3C30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1742B"/>
    <w:multiLevelType w:val="multilevel"/>
    <w:tmpl w:val="ED62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8C4784"/>
    <w:multiLevelType w:val="multilevel"/>
    <w:tmpl w:val="C1B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6D4C97"/>
    <w:multiLevelType w:val="multilevel"/>
    <w:tmpl w:val="286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BE3ACF"/>
    <w:multiLevelType w:val="multilevel"/>
    <w:tmpl w:val="A1B8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7A"/>
    <w:rsid w:val="0002707A"/>
    <w:rsid w:val="00161C28"/>
    <w:rsid w:val="00271B20"/>
    <w:rsid w:val="005C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07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2707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07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27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rchive.org/details/agamemnonofaesch037599mbp" TargetMode="External"/><Relationship Id="rId7" Type="http://schemas.openxmlformats.org/officeDocument/2006/relationships/hyperlink" Target="https://search.lib.byu.edu/byu/record/pcbyu.ebraryebr10137847?holding=bfxibg7xsazmjfvq&amp;t_rnum=3&amp;t_query=The+Complete+Works+of+Robert+Brownin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4646</Characters>
  <Application>Microsoft Macintosh Word</Application>
  <DocSecurity>0</DocSecurity>
  <Lines>38</Lines>
  <Paragraphs>10</Paragraphs>
  <ScaleCrop>false</ScaleCrop>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Fuller</dc:creator>
  <cp:keywords/>
  <dc:description/>
  <cp:lastModifiedBy>Roger Macfarlane</cp:lastModifiedBy>
  <cp:revision>2</cp:revision>
  <dcterms:created xsi:type="dcterms:W3CDTF">2014-12-30T16:51:00Z</dcterms:created>
  <dcterms:modified xsi:type="dcterms:W3CDTF">2014-12-30T16:51:00Z</dcterms:modified>
</cp:coreProperties>
</file>