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DE6" w:rsidRDefault="00A603A3">
      <w:r>
        <w:t>Nicolas Poussin, “Triumph of Neptune and Amphitrite”, mid-1630s, oil on canvas (part of ‘Bacchanals’ series for Château de Richelieu?), Philadelphia Museum of Art, accession no. E1932-1-1 The George W. Elkins Collection, 1932.</w:t>
      </w:r>
      <w:r w:rsidR="00483AD9">
        <w:t xml:space="preserve">  — </w:t>
      </w:r>
      <w:r w:rsidR="00483AD9">
        <w:t>Amphitrite1.0029_Poussin</w:t>
      </w:r>
    </w:p>
    <w:p w:rsidR="00A603A3" w:rsidRDefault="00A603A3"/>
    <w:p w:rsidR="00A603A3" w:rsidRDefault="00A603A3"/>
    <w:p w:rsidR="00A603A3" w:rsidRDefault="00A603A3">
      <w:r>
        <w:rPr>
          <w:noProof/>
        </w:rPr>
        <w:drawing>
          <wp:inline distT="0" distB="0" distL="0" distR="0">
            <wp:extent cx="3705308" cy="291001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1932-1-1-pma20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3451" cy="2916408"/>
                    </a:xfrm>
                    <a:prstGeom prst="rect">
                      <a:avLst/>
                    </a:prstGeom>
                  </pic:spPr>
                </pic:pic>
              </a:graphicData>
            </a:graphic>
          </wp:inline>
        </w:drawing>
      </w:r>
    </w:p>
    <w:p w:rsidR="00483AD9" w:rsidRPr="00483AD9" w:rsidRDefault="00483AD9" w:rsidP="00483AD9">
      <w:pPr>
        <w:rPr>
          <w:sz w:val="20"/>
        </w:rPr>
      </w:pPr>
      <w:r>
        <w:t>A super-hi-res of this painting is available at Google Arts &amp; Culture:</w:t>
      </w:r>
      <w:r>
        <w:br/>
      </w:r>
      <w:r w:rsidRPr="00483AD9">
        <w:rPr>
          <w:sz w:val="20"/>
        </w:rPr>
        <w:t xml:space="preserve">  </w:t>
      </w:r>
      <w:hyperlink r:id="rId6" w:history="1">
        <w:r w:rsidRPr="00483AD9">
          <w:rPr>
            <w:color w:val="0000FF"/>
            <w:sz w:val="20"/>
            <w:u w:val="single"/>
          </w:rPr>
          <w:t>https://artsandculture.google.com/asset/the-birth-of-venus/kwEtyhSaKD0s7g</w:t>
        </w:r>
      </w:hyperlink>
    </w:p>
    <w:p w:rsidR="00483AD9" w:rsidRPr="00483AD9" w:rsidRDefault="00483AD9">
      <w:pPr>
        <w:rPr>
          <w:sz w:val="20"/>
        </w:rPr>
      </w:pPr>
    </w:p>
    <w:p w:rsidR="00A603A3" w:rsidRDefault="00A603A3"/>
    <w:p w:rsidR="00A603A3" w:rsidRDefault="00A603A3">
      <w:r>
        <w:t xml:space="preserve">Poussin left the canvas untitled. Consequently, scholars have debated the mythological subject matter. </w:t>
      </w:r>
      <w:r w:rsidR="00483AD9">
        <w:t xml:space="preserve"> </w:t>
      </w:r>
      <w:r>
        <w:t>The Philadelphia Museum of Art titles it “The Birth of Venus”; however, in the label (</w:t>
      </w:r>
      <w:hyperlink r:id="rId7" w:history="1">
        <w:r w:rsidRPr="00A603A3">
          <w:rPr>
            <w:rStyle w:val="Hyperlink"/>
          </w:rPr>
          <w:t>click</w:t>
        </w:r>
      </w:hyperlink>
      <w:r>
        <w:t>)</w:t>
      </w:r>
      <w:r w:rsidR="00E16579">
        <w:t xml:space="preserve"> </w:t>
      </w:r>
      <w:r>
        <w:t xml:space="preserve">the Museum states that “others see the sea god Neptune’s marine procession”, which would likely make that central figure Amphitrite, Neptune’s divine consort. Another option floated by the Museum is that Galatea is in the center. </w:t>
      </w:r>
    </w:p>
    <w:p w:rsidR="00A603A3" w:rsidRDefault="00A603A3"/>
    <w:p w:rsidR="00A603A3" w:rsidRDefault="00A603A3">
      <w:r>
        <w:t xml:space="preserve">The </w:t>
      </w:r>
      <w:r>
        <w:rPr>
          <w:i/>
        </w:rPr>
        <w:t>OGCMA</w:t>
      </w:r>
      <w:r>
        <w:t xml:space="preserve"> sides with the interpretation that this is Amphitrite and indexes the picture as Amphitrite1.0029_Poussin, entitling it “Triumph of Neptune and Amphitrite”</w:t>
      </w:r>
      <w:r w:rsidR="00C17375">
        <w:t xml:space="preserve"> [= Poseidon1.0067_Poussin].</w:t>
      </w:r>
      <w:r w:rsidR="00EA7C2F">
        <w:t xml:space="preserve"> Many others agree.</w:t>
      </w:r>
      <w:bookmarkStart w:id="0" w:name="_GoBack"/>
      <w:bookmarkEnd w:id="0"/>
    </w:p>
    <w:p w:rsidR="00C17375" w:rsidRDefault="00C17375"/>
    <w:p w:rsidR="00C17375" w:rsidRDefault="00C17375">
      <w:r>
        <w:rPr>
          <w:i/>
        </w:rPr>
        <w:t>OGCMA</w:t>
      </w:r>
      <w:r>
        <w:t xml:space="preserve"> lists for Poussin under “Aphrodite, Birth of” two items — a) a set of three drawings archived at the Galleria </w:t>
      </w:r>
      <w:proofErr w:type="spellStart"/>
      <w:r>
        <w:t>Corsini</w:t>
      </w:r>
      <w:proofErr w:type="spellEnd"/>
      <w:r>
        <w:t>, Rome, at the Musée Cond</w:t>
      </w:r>
      <w:r w:rsidR="00483AD9">
        <w:t>é</w:t>
      </w:r>
      <w:r>
        <w:t xml:space="preserve">, Chantilly, and at the Stockholm </w:t>
      </w:r>
      <w:proofErr w:type="spellStart"/>
      <w:r>
        <w:t>Natinoalmuseum</w:t>
      </w:r>
      <w:proofErr w:type="spellEnd"/>
      <w:r>
        <w:t xml:space="preserve"> [AphroditeBirth1.0046_Poussin]; and b) a drawing entitled “Venus Landing on Cythera” at the Musée </w:t>
      </w:r>
      <w:proofErr w:type="spellStart"/>
      <w:r>
        <w:t>Bonnat</w:t>
      </w:r>
      <w:proofErr w:type="spellEnd"/>
      <w:r>
        <w:t xml:space="preserve">, Bayonne [AphroditeBirth1.0047_Poussin]. If the present painting depicts Aphrodite’s birth, then it should likely be listed at AphroditeBirth2.0046_Poussin. </w:t>
      </w:r>
    </w:p>
    <w:p w:rsidR="00C17375" w:rsidRDefault="00C17375"/>
    <w:p w:rsidR="00C17375" w:rsidRDefault="00C17375">
      <w:r>
        <w:t xml:space="preserve">For the reading that this is Galatea’s Triumph, one should compare it to four Poussin items listed in </w:t>
      </w:r>
      <w:r>
        <w:rPr>
          <w:i/>
        </w:rPr>
        <w:t xml:space="preserve">OGCMA </w:t>
      </w:r>
      <w:proofErr w:type="spellStart"/>
      <w:r>
        <w:t>s.v</w:t>
      </w:r>
      <w:proofErr w:type="spellEnd"/>
      <w:r>
        <w:t xml:space="preserve">. “Galatea”, but especially “The Triumph of Galatea” </w:t>
      </w:r>
      <w:r w:rsidR="00483AD9">
        <w:t xml:space="preserve">for which two drawings are extant in the Stockholm </w:t>
      </w:r>
      <w:proofErr w:type="spellStart"/>
      <w:r w:rsidR="00483AD9">
        <w:t>Nationalmuseum</w:t>
      </w:r>
      <w:proofErr w:type="spellEnd"/>
      <w:r w:rsidR="00483AD9">
        <w:t xml:space="preserve"> (Galatea2.0050_Poussin).</w:t>
      </w:r>
    </w:p>
    <w:p w:rsidR="00483AD9" w:rsidRDefault="00483AD9"/>
    <w:p w:rsidR="00483AD9" w:rsidRDefault="00483AD9">
      <w:r>
        <w:lastRenderedPageBreak/>
        <w:t xml:space="preserve">Because the Philadelphia Museum’s web-based label does not offer bibliographic support, deeper study of this intriguing dispute should go through the bibliographic sources offered by Reid in </w:t>
      </w:r>
      <w:r>
        <w:rPr>
          <w:i/>
        </w:rPr>
        <w:t xml:space="preserve">OGCMA </w:t>
      </w:r>
      <w:r>
        <w:t xml:space="preserve">ad loc. These are </w:t>
      </w:r>
    </w:p>
    <w:p w:rsidR="00483AD9" w:rsidRDefault="00483AD9" w:rsidP="00483AD9">
      <w:pPr>
        <w:ind w:left="720"/>
      </w:pPr>
      <w:r>
        <w:t xml:space="preserve">Wright, Christopher. 1985. </w:t>
      </w:r>
      <w:r>
        <w:rPr>
          <w:i/>
        </w:rPr>
        <w:t xml:space="preserve">Poussin Paintings: a catalog </w:t>
      </w:r>
      <w:proofErr w:type="spellStart"/>
      <w:r>
        <w:rPr>
          <w:i/>
        </w:rPr>
        <w:t>raisonné</w:t>
      </w:r>
      <w:proofErr w:type="spellEnd"/>
      <w:r>
        <w:t>. London: Harlequin. — no. 80, pl. 35</w:t>
      </w:r>
    </w:p>
    <w:p w:rsidR="00483AD9" w:rsidRDefault="00483AD9" w:rsidP="00483AD9">
      <w:pPr>
        <w:ind w:left="720"/>
      </w:pPr>
      <w:r>
        <w:t xml:space="preserve">Blunt, Anthony. 1966. </w:t>
      </w:r>
      <w:r>
        <w:rPr>
          <w:i/>
        </w:rPr>
        <w:t xml:space="preserve">The Paintings of Nicolas Poussin: critical catalog. </w:t>
      </w:r>
      <w:r>
        <w:t xml:space="preserve">London: </w:t>
      </w:r>
      <w:proofErr w:type="spellStart"/>
      <w:r>
        <w:t>Phaidon</w:t>
      </w:r>
      <w:proofErr w:type="spellEnd"/>
      <w:r>
        <w:t>. — no. 167</w:t>
      </w:r>
    </w:p>
    <w:p w:rsidR="00483AD9" w:rsidRDefault="00483AD9" w:rsidP="00483AD9">
      <w:pPr>
        <w:ind w:left="720"/>
      </w:pPr>
      <w:proofErr w:type="spellStart"/>
      <w:r>
        <w:t>Thuillier</w:t>
      </w:r>
      <w:proofErr w:type="spellEnd"/>
      <w:r>
        <w:t xml:space="preserve">, Jacques. 1974. </w:t>
      </w:r>
      <w:proofErr w:type="spellStart"/>
      <w:r>
        <w:rPr>
          <w:i/>
        </w:rPr>
        <w:t>L’opera</w:t>
      </w:r>
      <w:proofErr w:type="spellEnd"/>
      <w:r>
        <w:rPr>
          <w:i/>
        </w:rPr>
        <w:t xml:space="preserve"> complete di Poussin.</w:t>
      </w:r>
      <w:r>
        <w:t xml:space="preserve"> </w:t>
      </w:r>
      <w:proofErr w:type="spellStart"/>
      <w:r>
        <w:t>Classici</w:t>
      </w:r>
      <w:proofErr w:type="spellEnd"/>
      <w:r>
        <w:t xml:space="preserve"> </w:t>
      </w:r>
      <w:proofErr w:type="spellStart"/>
      <w:r>
        <w:t>dell’arte</w:t>
      </w:r>
      <w:proofErr w:type="spellEnd"/>
      <w:r>
        <w:t>. Milan: Rizzoli. —  no. 93</w:t>
      </w:r>
    </w:p>
    <w:p w:rsidR="00483AD9" w:rsidRDefault="00483AD9"/>
    <w:p w:rsidR="00483AD9" w:rsidRPr="00483AD9" w:rsidRDefault="00483AD9" w:rsidP="00483AD9">
      <w:pPr>
        <w:pStyle w:val="ListParagraph"/>
        <w:numPr>
          <w:ilvl w:val="0"/>
          <w:numId w:val="1"/>
        </w:numPr>
      </w:pPr>
      <w:r>
        <w:t xml:space="preserve">RTM </w:t>
      </w:r>
    </w:p>
    <w:sectPr w:rsidR="00483AD9" w:rsidRPr="00483AD9" w:rsidSect="00EE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D061C"/>
    <w:multiLevelType w:val="hybridMultilevel"/>
    <w:tmpl w:val="B00C2C5E"/>
    <w:lvl w:ilvl="0" w:tplc="F30A91EC">
      <w:start w:val="1"/>
      <w:numFmt w:val="bullet"/>
      <w:lvlText w:val="—"/>
      <w:lvlJc w:val="left"/>
      <w:pPr>
        <w:ind w:left="720" w:hanging="360"/>
      </w:pPr>
      <w:rPr>
        <w:rFonts w:ascii="Garamond" w:eastAsiaTheme="minorHAnsi" w:hAnsi="Garamond"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A3"/>
    <w:rsid w:val="00026196"/>
    <w:rsid w:val="00040057"/>
    <w:rsid w:val="0009067F"/>
    <w:rsid w:val="000A6C55"/>
    <w:rsid w:val="000B06F3"/>
    <w:rsid w:val="000F2F11"/>
    <w:rsid w:val="001011F7"/>
    <w:rsid w:val="00114C0F"/>
    <w:rsid w:val="00123B2F"/>
    <w:rsid w:val="00123FF3"/>
    <w:rsid w:val="00163590"/>
    <w:rsid w:val="0016675A"/>
    <w:rsid w:val="00172D05"/>
    <w:rsid w:val="001A1386"/>
    <w:rsid w:val="001C1AE1"/>
    <w:rsid w:val="001D39AE"/>
    <w:rsid w:val="001D6045"/>
    <w:rsid w:val="001F4658"/>
    <w:rsid w:val="00275ABC"/>
    <w:rsid w:val="002B161B"/>
    <w:rsid w:val="002F60BB"/>
    <w:rsid w:val="003052CC"/>
    <w:rsid w:val="0031286F"/>
    <w:rsid w:val="0033020C"/>
    <w:rsid w:val="003457B2"/>
    <w:rsid w:val="003623D1"/>
    <w:rsid w:val="003B0BF9"/>
    <w:rsid w:val="003B460F"/>
    <w:rsid w:val="003E18AA"/>
    <w:rsid w:val="00441065"/>
    <w:rsid w:val="00483AD9"/>
    <w:rsid w:val="004A32A9"/>
    <w:rsid w:val="004A70B0"/>
    <w:rsid w:val="004C2EC2"/>
    <w:rsid w:val="004E4525"/>
    <w:rsid w:val="00525FF9"/>
    <w:rsid w:val="005458FD"/>
    <w:rsid w:val="005643B7"/>
    <w:rsid w:val="00571356"/>
    <w:rsid w:val="00595016"/>
    <w:rsid w:val="00597540"/>
    <w:rsid w:val="005A78A7"/>
    <w:rsid w:val="005B3106"/>
    <w:rsid w:val="005B7121"/>
    <w:rsid w:val="005B78F4"/>
    <w:rsid w:val="005C3434"/>
    <w:rsid w:val="005E287B"/>
    <w:rsid w:val="005E3EBB"/>
    <w:rsid w:val="00650021"/>
    <w:rsid w:val="00656D4A"/>
    <w:rsid w:val="00656E30"/>
    <w:rsid w:val="00661BE8"/>
    <w:rsid w:val="006A3048"/>
    <w:rsid w:val="006A7405"/>
    <w:rsid w:val="006B0E09"/>
    <w:rsid w:val="006C35FE"/>
    <w:rsid w:val="007136AA"/>
    <w:rsid w:val="00714252"/>
    <w:rsid w:val="0071501D"/>
    <w:rsid w:val="00735F03"/>
    <w:rsid w:val="0074237F"/>
    <w:rsid w:val="00751DE6"/>
    <w:rsid w:val="00756400"/>
    <w:rsid w:val="007724F5"/>
    <w:rsid w:val="00776E61"/>
    <w:rsid w:val="00781192"/>
    <w:rsid w:val="00786703"/>
    <w:rsid w:val="007A0108"/>
    <w:rsid w:val="007B08E7"/>
    <w:rsid w:val="007B545D"/>
    <w:rsid w:val="00805FDC"/>
    <w:rsid w:val="00822618"/>
    <w:rsid w:val="00825C1C"/>
    <w:rsid w:val="00830F95"/>
    <w:rsid w:val="0084020D"/>
    <w:rsid w:val="00856641"/>
    <w:rsid w:val="008D6F6E"/>
    <w:rsid w:val="0090371F"/>
    <w:rsid w:val="009335BB"/>
    <w:rsid w:val="00935FE6"/>
    <w:rsid w:val="00985652"/>
    <w:rsid w:val="009B1975"/>
    <w:rsid w:val="009F208E"/>
    <w:rsid w:val="00A118EE"/>
    <w:rsid w:val="00A256D5"/>
    <w:rsid w:val="00A526A1"/>
    <w:rsid w:val="00A52D2B"/>
    <w:rsid w:val="00A536E6"/>
    <w:rsid w:val="00A603A3"/>
    <w:rsid w:val="00A65FF3"/>
    <w:rsid w:val="00A73805"/>
    <w:rsid w:val="00A749E4"/>
    <w:rsid w:val="00A80BCE"/>
    <w:rsid w:val="00AA237A"/>
    <w:rsid w:val="00AA59A5"/>
    <w:rsid w:val="00AB15AD"/>
    <w:rsid w:val="00AC040B"/>
    <w:rsid w:val="00AD7594"/>
    <w:rsid w:val="00B20EE5"/>
    <w:rsid w:val="00B26FBD"/>
    <w:rsid w:val="00B36332"/>
    <w:rsid w:val="00B42734"/>
    <w:rsid w:val="00B47FC8"/>
    <w:rsid w:val="00B71D7F"/>
    <w:rsid w:val="00B77671"/>
    <w:rsid w:val="00B804F0"/>
    <w:rsid w:val="00BB166A"/>
    <w:rsid w:val="00BD2B60"/>
    <w:rsid w:val="00BD4DA4"/>
    <w:rsid w:val="00BE181A"/>
    <w:rsid w:val="00BE5AAE"/>
    <w:rsid w:val="00BE6E38"/>
    <w:rsid w:val="00BF41BF"/>
    <w:rsid w:val="00C00AFE"/>
    <w:rsid w:val="00C17375"/>
    <w:rsid w:val="00C36BCD"/>
    <w:rsid w:val="00C55C3F"/>
    <w:rsid w:val="00C57569"/>
    <w:rsid w:val="00C61124"/>
    <w:rsid w:val="00C70C26"/>
    <w:rsid w:val="00C71DCE"/>
    <w:rsid w:val="00C8048B"/>
    <w:rsid w:val="00CA432B"/>
    <w:rsid w:val="00CB0959"/>
    <w:rsid w:val="00CC63FF"/>
    <w:rsid w:val="00CE35EA"/>
    <w:rsid w:val="00D02396"/>
    <w:rsid w:val="00D40868"/>
    <w:rsid w:val="00D416E6"/>
    <w:rsid w:val="00D7342D"/>
    <w:rsid w:val="00D834ED"/>
    <w:rsid w:val="00DC4C1C"/>
    <w:rsid w:val="00DF4387"/>
    <w:rsid w:val="00DF7CD4"/>
    <w:rsid w:val="00E16579"/>
    <w:rsid w:val="00E57F0A"/>
    <w:rsid w:val="00E80D2C"/>
    <w:rsid w:val="00EA7C2F"/>
    <w:rsid w:val="00EC0BD6"/>
    <w:rsid w:val="00ED1439"/>
    <w:rsid w:val="00EE09D1"/>
    <w:rsid w:val="00EE28CD"/>
    <w:rsid w:val="00F04F37"/>
    <w:rsid w:val="00F13E89"/>
    <w:rsid w:val="00F24458"/>
    <w:rsid w:val="00F257BA"/>
    <w:rsid w:val="00F44706"/>
    <w:rsid w:val="00F54937"/>
    <w:rsid w:val="00FD0A87"/>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EDAB8"/>
  <w15:chartTrackingRefBased/>
  <w15:docId w15:val="{FF506555-FE3E-D842-B36B-06D5CC2F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Body CS)"/>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AD9"/>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3A3"/>
    <w:rPr>
      <w:color w:val="0563C1" w:themeColor="hyperlink"/>
      <w:u w:val="single"/>
    </w:rPr>
  </w:style>
  <w:style w:type="character" w:styleId="UnresolvedMention">
    <w:name w:val="Unresolved Mention"/>
    <w:basedOn w:val="DefaultParagraphFont"/>
    <w:uiPriority w:val="99"/>
    <w:semiHidden/>
    <w:unhideWhenUsed/>
    <w:rsid w:val="00A603A3"/>
    <w:rPr>
      <w:color w:val="605E5C"/>
      <w:shd w:val="clear" w:color="auto" w:fill="E1DFDD"/>
    </w:rPr>
  </w:style>
  <w:style w:type="paragraph" w:styleId="ListParagraph">
    <w:name w:val="List Paragraph"/>
    <w:basedOn w:val="Normal"/>
    <w:uiPriority w:val="34"/>
    <w:qFormat/>
    <w:rsid w:val="00483AD9"/>
    <w:pPr>
      <w:ind w:left="720"/>
      <w:contextualSpacing/>
    </w:pPr>
    <w:rPr>
      <w:rFonts w:ascii="Garamond" w:eastAsiaTheme="minorHAnsi" w:hAnsi="Garamond" w:cs="Times New Roman (Body 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ilamuseum.org/collections/permanent/10299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sandculture.google.com/asset/the-birth-of-venus/kwEtyhSaKD0s7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3</cp:revision>
  <dcterms:created xsi:type="dcterms:W3CDTF">2020-08-01T21:21:00Z</dcterms:created>
  <dcterms:modified xsi:type="dcterms:W3CDTF">2020-08-01T22:22:00Z</dcterms:modified>
</cp:coreProperties>
</file>