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Michael Easterling</w:t>
      </w:r>
    </w:p>
    <w:p>
      <w:pPr/>
      <w:r>
        <w:rPr>
          <w:rFonts w:ascii="Times New Roman" w:hAnsi="Times New Roman" w:cs="Times New Roman"/>
          <w:sz w:val="24"/>
          <w:sz-cs w:val="24"/>
        </w:rPr>
        <w:t xml:space="preserve">CMPST – 640</w:t>
      </w:r>
    </w:p>
    <w:p>
      <w:pPr/>
      <w:r>
        <w:rPr>
          <w:rFonts w:ascii="Times New Roman" w:hAnsi="Times New Roman" w:cs="Times New Roman"/>
          <w:sz w:val="24"/>
          <w:sz-cs w:val="24"/>
        </w:rPr>
        <w:t xml:space="preserve">Dr. Macfarlane</w:t>
      </w:r>
    </w:p>
    <w:p>
      <w:pPr/>
      <w:r>
        <w:rPr>
          <w:rFonts w:ascii="Times New Roman" w:hAnsi="Times New Roman" w:cs="Times New Roman"/>
          <w:sz w:val="24"/>
          <w:sz-cs w:val="24"/>
        </w:rPr>
        <w:t xml:space="preserve">12/18/14</w:t>
      </w:r>
    </w:p>
    <w:p>
      <w:pPr/>
      <w:r>
        <w:rPr>
          <w:rFonts w:ascii="Times New Roman" w:hAnsi="Times New Roman" w:cs="Times New Roman"/>
          <w:sz w:val="24"/>
          <w:sz-cs w:val="24"/>
        </w:rPr>
        <w:t xml:space="preserve">Final Project</w:t>
      </w:r>
    </w:p>
    <w:p>
      <w:pPr/>
      <w:r>
        <w:rPr>
          <w:rFonts w:ascii="Times New Roman" w:hAnsi="Times New Roman" w:cs="Times New Roman"/>
          <w:sz w:val="24"/>
          <w:sz-cs w:val="24"/>
        </w:rPr>
        <w:t xml:space="preserve"/>
      </w:r>
    </w:p>
    <w:p>
      <w:pPr>
        <w:jc w:val="center"/>
      </w:pPr>
      <w:r>
        <w:rPr>
          <w:rFonts w:ascii="Times New Roman" w:hAnsi="Times New Roman" w:cs="Times New Roman"/>
          <w:sz w:val="24"/>
          <w:sz-cs w:val="24"/>
          <w:b/>
          <w:i/>
          <w:u w:val="single"/>
        </w:rPr>
        <w:t xml:space="preserve">“Three Studies for Figures at the Base of a Crucifixion” </w:t>
      </w:r>
      <w:r>
        <w:rPr>
          <w:rFonts w:ascii="Times New Roman" w:hAnsi="Times New Roman" w:cs="Times New Roman"/>
          <w:sz w:val="24"/>
          <w:sz-cs w:val="24"/>
          <w:b/>
          <w:u w:val="single"/>
        </w:rPr>
        <w:t xml:space="preserve">by Francis Bacon</w:t>
      </w:r>
    </w:p>
    <w:p>
      <w:pPr/>
      <w:r>
        <w:rPr>
          <w:rFonts w:ascii="Times New Roman" w:hAnsi="Times New Roman" w:cs="Times New Roman"/>
          <w:sz w:val="24"/>
          <w:sz-cs w:val="24"/>
          <w:b/>
          <w:u w:val="single"/>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color w:val="0044FE"/>
        </w:rPr>
        <w:t xml:space="preserve">“Three Studies for Figures at the Base of a Crucifixion” is a 1944 triptych painted by the Irish-born British artist Francis Bacon. The work is based on the Eumenides, or Furies of Aeschylus' “The Oresteia”, and depicts three writhing anthropomorphic creatures set against a flat burnt orange background.</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Some Studies/Sources to Consider:</w:t>
      </w:r>
    </w:p>
    <w:p>
      <w:pPr>
        <w:ind w:left="720"/>
      </w:pPr>
      <w:r>
        <w:rPr>
          <w:rFonts w:ascii="Times New Roman" w:hAnsi="Times New Roman" w:cs="Times New Roman"/>
          <w:sz w:val="24"/>
          <w:sz-cs w:val="24"/>
        </w:rPr>
        <w:t xml:space="preserve"/>
        <w:tab/>
        <w:t xml:space="preserve">•</w:t>
        <w:tab/>
        <w:t xml:space="preserve">Alley, Ronald. Francis Bacon. </w:t>
      </w:r>
      <w:r>
        <w:rPr>
          <w:rFonts w:ascii="Times New Roman" w:hAnsi="Times New Roman" w:cs="Times New Roman"/>
          <w:sz w:val="24"/>
          <w:sz-cs w:val="24"/>
          <w:i/>
        </w:rPr>
        <w:t xml:space="preserve">Cimaise: Art Today in Great Britain</w:t>
      </w:r>
      <w:r>
        <w:rPr>
          <w:rFonts w:ascii="Times New Roman" w:hAnsi="Times New Roman" w:cs="Times New Roman"/>
          <w:sz w:val="24"/>
          <w:sz-cs w:val="24"/>
        </w:rPr>
        <w:t xml:space="preserve">, 10 (1963) ….</w:t>
      </w:r>
    </w:p>
    <w:p>
      <w:pPr>
        <w:ind w:left="720"/>
      </w:pPr>
      <w:r>
        <w:rPr>
          <w:rFonts w:ascii="Times New Roman" w:hAnsi="Times New Roman" w:cs="Times New Roman"/>
          <w:sz w:val="24"/>
          <w:sz-cs w:val="24"/>
        </w:rPr>
        <w:t xml:space="preserve"/>
        <w:tab/>
        <w:t xml:space="preserve">•</w:t>
        <w:tab/>
        <w:t xml:space="preserve">Baldassari, Anne. Bacon Picasso: The life of Images. Flammarion, 2005.</w:t>
      </w:r>
    </w:p>
    <w:p>
      <w:pPr>
        <w:ind w:left="720"/>
      </w:pPr>
      <w:r>
        <w:rPr>
          <w:rFonts w:ascii="Times New Roman" w:hAnsi="Times New Roman" w:cs="Times New Roman"/>
          <w:sz w:val="24"/>
          <w:sz-cs w:val="24"/>
        </w:rPr>
        <w:t xml:space="preserve"/>
        <w:tab/>
        <w:t xml:space="preserve">•</w:t>
        <w:tab/>
        <w:t xml:space="preserve">Bragg, Melvyn. "Francis Bacon". South Bank Show. BBC documentary film, first aired June 9, 1985.</w:t>
      </w:r>
    </w:p>
    <w:p>
      <w:pPr>
        <w:ind w:left="720"/>
      </w:pPr>
      <w:r>
        <w:rPr>
          <w:rFonts w:ascii="Times New Roman" w:hAnsi="Times New Roman" w:cs="Times New Roman"/>
          <w:sz w:val="24"/>
          <w:sz-cs w:val="24"/>
        </w:rPr>
        <w:t xml:space="preserve"/>
        <w:tab/>
        <w:t xml:space="preserve">•</w:t>
        <w:tab/>
        <w:t xml:space="preserve">Carpentier, Martha C. "Orestes in the Drawing Room: Aeschylean Parallels in T. S. Eliot's "The Family Reunion". Twentieth Century Literature, Vol. 35, No. 1', 1989. 17-42</w:t>
      </w:r>
    </w:p>
    <w:p>
      <w:pPr>
        <w:ind w:left="720"/>
      </w:pPr>
      <w:r>
        <w:rPr>
          <w:rFonts w:ascii="Times New Roman" w:hAnsi="Times New Roman" w:cs="Times New Roman"/>
          <w:sz w:val="24"/>
          <w:sz-cs w:val="24"/>
        </w:rPr>
        <w:t xml:space="preserve"/>
        <w:tab/>
        <w:t xml:space="preserve">•</w:t>
        <w:tab/>
        <w:t xml:space="preserve">Davies, Hugh; Yard, Sally. "Francis Bacon". New York: Cross River Press, 1986.</w:t>
      </w:r>
    </w:p>
    <w:p>
      <w:pPr>
        <w:ind w:left="720"/>
      </w:pPr>
      <w:r>
        <w:rPr>
          <w:rFonts w:ascii="Times New Roman" w:hAnsi="Times New Roman" w:cs="Times New Roman"/>
          <w:sz w:val="24"/>
          <w:sz-cs w:val="24"/>
        </w:rPr>
        <w:t xml:space="preserve"/>
        <w:tab/>
        <w:t xml:space="preserve">•</w:t>
        <w:tab/>
        <w:t xml:space="preserve">Furst, Herbert. "Current Shows and Comments: On the Significance of a Word". Apollo, vol.41, no.231. May 1945. 108</w:t>
      </w:r>
    </w:p>
    <w:p>
      <w:pPr>
        <w:ind w:left="720"/>
      </w:pPr>
      <w:r>
        <w:rPr>
          <w:rFonts w:ascii="Times New Roman" w:hAnsi="Times New Roman" w:cs="Times New Roman"/>
          <w:sz w:val="24"/>
          <w:sz-cs w:val="24"/>
        </w:rPr>
        <w:t xml:space="preserve"/>
        <w:tab/>
        <w:t xml:space="preserve">•</w:t>
        <w:tab/>
        <w:t xml:space="preserve">Kieran, Matthew. Revealing Art. London: Routledge, 2005. </w:t>
      </w:r>
    </w:p>
    <w:p>
      <w:pPr>
        <w:ind w:left="720"/>
      </w:pPr>
      <w:r>
        <w:rPr>
          <w:rFonts w:ascii="Times New Roman" w:hAnsi="Times New Roman" w:cs="Times New Roman"/>
          <w:sz w:val="24"/>
          <w:sz-cs w:val="24"/>
        </w:rPr>
        <w:t xml:space="preserve"/>
        <w:tab/>
        <w:t xml:space="preserve">•</w:t>
        <w:tab/>
        <w:t xml:space="preserve">Peppiatt, Michael. Anatomy of an Enigma. Westview Press, 1996.</w:t>
      </w:r>
    </w:p>
    <w:p>
      <w:pPr>
        <w:ind w:left="720"/>
      </w:pPr>
      <w:r>
        <w:rPr>
          <w:rFonts w:ascii="Times New Roman" w:hAnsi="Times New Roman" w:cs="Times New Roman"/>
          <w:sz w:val="24"/>
          <w:sz-cs w:val="24"/>
        </w:rPr>
        <w:t xml:space="preserve"/>
        <w:tab/>
        <w:t xml:space="preserve">•</w:t>
        <w:tab/>
        <w:t xml:space="preserve">Russell, John. Francis Bacon (World of Art). NY: Norton, 1971.</w:t>
      </w:r>
    </w:p>
    <w:p>
      <w:pPr>
        <w:ind w:left="720"/>
      </w:pPr>
      <w:r>
        <w:rPr>
          <w:rFonts w:ascii="Times New Roman" w:hAnsi="Times New Roman" w:cs="Times New Roman"/>
          <w:sz w:val="24"/>
          <w:sz-cs w:val="24"/>
        </w:rPr>
        <w:t xml:space="preserve"/>
        <w:tab/>
        <w:t xml:space="preserve">•</w:t>
        <w:tab/>
        <w:t xml:space="preserve">Schmied, Wieland. Francis Bacon: Commitment and Conflict. Munich: Prestel, 1996.</w:t>
      </w:r>
    </w:p>
    <w:p>
      <w:pPr>
        <w:ind w:left="720"/>
      </w:pPr>
      <w:r>
        <w:rPr>
          <w:rFonts w:ascii="Times New Roman" w:hAnsi="Times New Roman" w:cs="Times New Roman"/>
          <w:sz w:val="24"/>
          <w:sz-cs w:val="24"/>
        </w:rPr>
        <w:t xml:space="preserve"/>
        <w:tab/>
        <w:t xml:space="preserve">•</w:t>
        <w:tab/>
        <w:t xml:space="preserve">Sylvester, David. The Brutality of Fact: Interviews with Francis Bacon. London: Thames and Hudson, 1987.</w:t>
      </w:r>
    </w:p>
    <w:p>
      <w:pPr>
        <w:ind w:left="720"/>
      </w:pPr>
      <w:r>
        <w:rPr>
          <w:rFonts w:ascii="Times New Roman" w:hAnsi="Times New Roman" w:cs="Times New Roman"/>
          <w:sz w:val="24"/>
          <w:sz-cs w:val="24"/>
        </w:rPr>
        <w:t xml:space="preserve"/>
        <w:tab/>
        <w:t xml:space="preserve">•</w:t>
        <w:tab/>
        <w:t xml:space="preserve">Sylvester, David; Hunter, Sam; Peppiate Michael. Francis Bacon: Important Paintings from the Estate. New York: Tony Shafrazi Gallery, 1999. </w:t>
      </w:r>
    </w:p>
    <w:p>
      <w:pPr>
        <w:ind w:left="720"/>
      </w:pPr>
      <w:r>
        <w:rPr>
          <w:rFonts w:ascii="Times New Roman" w:hAnsi="Times New Roman" w:cs="Times New Roman"/>
          <w:sz w:val="24"/>
          <w:sz-cs w:val="24"/>
        </w:rPr>
        <w:t xml:space="preserve"/>
        <w:tab/>
        <w:t xml:space="preserve">•</w:t>
        <w:tab/>
        <w:t xml:space="preserve">Zweite, Armin (ed). The Violence of the Real. London: Thames and Hudson, 2006.</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Notes:</w:t>
      </w:r>
    </w:p>
    <w:p>
      <w:pPr>
        <w:ind w:left="720"/>
      </w:pPr>
      <w:r>
        <w:rPr>
          <w:rFonts w:ascii="Times New Roman" w:hAnsi="Times New Roman" w:cs="Times New Roman"/>
          <w:sz w:val="24"/>
          <w:sz-cs w:val="24"/>
        </w:rPr>
        <w:t xml:space="preserve"/>
        <w:tab/>
        <w:t xml:space="preserve">•</w:t>
        <w:tab/>
        <w:t xml:space="preserve">Bacon stated that he modelled the creatures on the Furies to David Sylvester in “The Brutality of Fact: Interviews with Francis Bacon.”</w:t>
      </w:r>
    </w:p>
    <w:p>
      <w:pPr>
        <w:ind w:left="1440"/>
      </w:pPr>
      <w:r>
        <w:rPr>
          <w:rFonts w:ascii="Times New Roman" w:hAnsi="Times New Roman" w:cs="Times New Roman"/>
          <w:sz w:val="24"/>
          <w:sz-cs w:val="24"/>
        </w:rPr>
        <w:t xml:space="preserve"/>
        <w:tab/>
        <w:t xml:space="preserve">•</w:t>
        <w:tab/>
        <w:t xml:space="preserve">This overt reference means that he is indeed working on an adaptation of the </w:t>
      </w:r>
      <w:r>
        <w:rPr>
          <w:rFonts w:ascii="Times New Roman" w:hAnsi="Times New Roman" w:cs="Times New Roman"/>
          <w:sz w:val="24"/>
          <w:sz-cs w:val="24"/>
          <w:i/>
        </w:rPr>
        <w:t xml:space="preserve">Oresteia</w:t>
      </w:r>
      <w:r>
        <w:rPr>
          <w:rFonts w:ascii="Times New Roman" w:hAnsi="Times New Roman" w:cs="Times New Roman"/>
          <w:sz w:val="24"/>
          <w:sz-cs w:val="24"/>
        </w:rPr>
        <w:t xml:space="preserve"/>
      </w:r>
    </w:p>
    <w:p>
      <w:pPr>
        <w:ind w:left="1440"/>
      </w:pPr>
      <w:r>
        <w:rPr>
          <w:rFonts w:ascii="Times New Roman" w:hAnsi="Times New Roman" w:cs="Times New Roman"/>
          <w:sz w:val="24"/>
          <w:sz-cs w:val="24"/>
        </w:rPr>
        <w:t xml:space="preserve"/>
        <w:tab/>
        <w:t xml:space="preserve">•</w:t>
        <w:tab/>
        <w:t xml:space="preserve">Characters appear as three writhing anthropomorphic creatures that can hardly be recognized as the Furies based on their more traditional depiction.</w:t>
      </w:r>
    </w:p>
    <w:p>
      <w:pPr>
        <w:ind w:left="2160"/>
      </w:pPr>
      <w:r>
        <w:rPr>
          <w:rFonts w:ascii="Times New Roman" w:hAnsi="Times New Roman" w:cs="Times New Roman"/>
          <w:sz w:val="24"/>
          <w:sz-cs w:val="24"/>
        </w:rPr>
        <w:t xml:space="preserve"/>
        <w:tab/>
        <w:t xml:space="preserve">•</w:t>
        <w:tab/>
        <w:t xml:space="preserve">They are traditionally depicted as ancient chthonic deities preoccupied with avenging patricide and matricide by hunting down and killing violent criminals. (Baldassari)</w:t>
      </w:r>
    </w:p>
    <w:p>
      <w:pPr>
        <w:ind w:left="2160"/>
      </w:pPr>
      <w:r>
        <w:rPr>
          <w:rFonts w:ascii="Times New Roman" w:hAnsi="Times New Roman" w:cs="Times New Roman"/>
          <w:sz w:val="24"/>
          <w:sz-cs w:val="24"/>
        </w:rPr>
        <w:t xml:space="preserve"/>
        <w:tab/>
        <w:t xml:space="preserve">•</w:t>
        <w:tab/>
        <w:t xml:space="preserve">I feel that there is something to say about the way he depicts them. When the knowing audience discovers that this painting is about the Furies then immediately they are able to start to translate their writhing anthropomorphic bodies as a visual appearance of the torment they use to punish crimes like matricide committed by Orestes, by hounding there culprits relentlessly.</w:t>
      </w:r>
    </w:p>
    <w:p>
      <w:pPr>
        <w:ind w:left="2160"/>
      </w:pPr>
      <w:r>
        <w:rPr>
          <w:rFonts w:ascii="Times New Roman" w:hAnsi="Times New Roman" w:cs="Times New Roman"/>
          <w:sz w:val="24"/>
          <w:sz-cs w:val="24"/>
        </w:rPr>
        <w:t xml:space="preserve"/>
        <w:tab/>
        <w:t xml:space="preserve">•</w:t>
        <w:tab/>
        <w:t xml:space="preserve">The refers directly to its inspirations, and interprets the source material in an uncharacteristically literal manner (Russell)</w:t>
      </w:r>
    </w:p>
    <w:p>
      <w:pPr>
        <w:ind w:left="2880"/>
      </w:pPr>
      <w:r>
        <w:rPr>
          <w:rFonts w:ascii="Times New Roman" w:hAnsi="Times New Roman" w:cs="Times New Roman"/>
          <w:sz w:val="24"/>
          <w:sz-cs w:val="24"/>
        </w:rPr>
        <w:t xml:space="preserve"/>
        <w:tab/>
        <w:t xml:space="preserve">•</w:t>
        <w:tab/>
        <w:t xml:space="preserve">1</w:t>
      </w:r>
      <w:r>
        <w:rPr>
          <w:rFonts w:ascii="Times New Roman" w:hAnsi="Times New Roman" w:cs="Times New Roman"/>
          <w:sz w:val="24"/>
          <w:sz-cs w:val="24"/>
          <w:vertAlign w:val="superscript"/>
        </w:rPr>
        <w:t xml:space="preserve">st</w:t>
      </w:r>
      <w:r>
        <w:rPr>
          <w:rFonts w:ascii="Times New Roman" w:hAnsi="Times New Roman" w:cs="Times New Roman"/>
          <w:sz w:val="24"/>
          <w:sz-cs w:val="24"/>
        </w:rPr>
        <w:t xml:space="preserve"> Seated on a table-like structure, this limbless creature has an elongated neck, heavily rounded shoulders, and a thick mop of dark hair.</w:t>
      </w:r>
    </w:p>
    <w:p>
      <w:pPr>
        <w:ind w:left="2880"/>
      </w:pPr>
      <w:r>
        <w:rPr>
          <w:rFonts w:ascii="Times New Roman" w:hAnsi="Times New Roman" w:cs="Times New Roman"/>
          <w:sz w:val="24"/>
          <w:sz-cs w:val="24"/>
        </w:rPr>
        <w:t xml:space="preserve"/>
        <w:tab/>
        <w:t xml:space="preserve">•</w:t>
        <w:tab/>
        <w:t xml:space="preserve">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 The central figure's mouth is positioned directly on its neck, rather than on a distinct face. It bares its teeth as if in a snarl, and is blindfolded by a drooping cloth bandage (Kieran)</w:t>
      </w:r>
    </w:p>
    <w:p>
      <w:pPr>
        <w:ind w:left="3600"/>
      </w:pPr>
      <w:r>
        <w:rPr>
          <w:rFonts w:ascii="Times New Roman" w:hAnsi="Times New Roman" w:cs="Times New Roman"/>
          <w:sz w:val="24"/>
          <w:sz-cs w:val="24"/>
        </w:rPr>
        <w:t xml:space="preserve"/>
        <w:tab/>
        <w:t xml:space="preserve">•</w:t>
        <w:tab/>
        <w:t xml:space="preserve">a device likely drawn from Matthias Grünewald's Mocking of Christ (Peppiatt)</w:t>
      </w:r>
    </w:p>
    <w:p>
      <w:pPr>
        <w:ind w:left="3600"/>
      </w:pPr>
      <w:r>
        <w:rPr>
          <w:rFonts w:ascii="Times New Roman" w:hAnsi="Times New Roman" w:cs="Times New Roman"/>
          <w:sz w:val="24"/>
          <w:sz-cs w:val="24"/>
        </w:rPr>
        <w:t xml:space="preserve"/>
        <w:tab/>
        <w:t xml:space="preserve">•</w:t>
        <w:tab/>
        <w:t xml:space="preserve">This creature faces the viewer directly and is centralized by a series of converging lines radiating from the base of the pedestal.</w:t>
      </w:r>
    </w:p>
    <w:p>
      <w:pPr>
        <w:ind w:left="2880"/>
      </w:pPr>
      <w:r>
        <w:rPr>
          <w:rFonts w:ascii="Times New Roman" w:hAnsi="Times New Roman" w:cs="Times New Roman"/>
          <w:sz w:val="24"/>
          <w:sz-cs w:val="24"/>
        </w:rPr>
        <w:t xml:space="preserve"/>
        <w:tab/>
        <w:t xml:space="preserve">•</w:t>
        <w:tab/>
        <w:t xml:space="preserve">3</w:t>
      </w:r>
      <w:r>
        <w:rPr>
          <w:rFonts w:ascii="Times New Roman" w:hAnsi="Times New Roman" w:cs="Times New Roman"/>
          <w:sz w:val="24"/>
          <w:sz-cs w:val="24"/>
          <w:vertAlign w:val="superscript"/>
        </w:rPr>
        <w:t xml:space="preserve">rd</w:t>
      </w:r>
      <w:r>
        <w:rPr>
          <w:rFonts w:ascii="Times New Roman" w:hAnsi="Times New Roman" w:cs="Times New Roman"/>
          <w:sz w:val="24"/>
          <w:sz-cs w:val="24"/>
        </w:rPr>
        <w:t xml:space="preserve"> Situated on an isolated patch of grass, the right-hand figure's toothed mouth is stretched open as if screaming. Its mouth is open to a degree impossible for a human skull. (Sylvester)</w:t>
      </w:r>
    </w:p>
    <w:p>
      <w:pPr>
        <w:ind w:left="720"/>
      </w:pPr>
      <w:r>
        <w:rPr>
          <w:rFonts w:ascii="Times New Roman" w:hAnsi="Times New Roman" w:cs="Times New Roman"/>
          <w:sz w:val="24"/>
          <w:sz-cs w:val="24"/>
        </w:rPr>
        <w:t xml:space="preserve"/>
        <w:tab/>
        <w:t xml:space="preserve">•</w:t>
        <w:tab/>
        <w:t xml:space="preserve">Bacon was introduced to Aeschylus through T. S. Eliot's 1939 play The Family Reunion, (Peppiatt) in which the protagonist Harry is haunted by "the sleepless hunters / that will not let me sleep".</w:t>
      </w:r>
    </w:p>
    <w:p>
      <w:pPr>
        <w:ind w:left="1440"/>
      </w:pPr>
      <w:r>
        <w:rPr>
          <w:rFonts w:ascii="Times New Roman" w:hAnsi="Times New Roman" w:cs="Times New Roman"/>
          <w:sz w:val="24"/>
          <w:sz-cs w:val="24"/>
        </w:rPr>
        <w:t xml:space="preserve"/>
        <w:tab/>
        <w:t xml:space="preserve">•</w:t>
        <w:tab/>
        <w:t xml:space="preserve">In Eliot's play, the Furies serve as embodiments of the remorse and guilt felt by Harry, who harbors a dark family secret, shared only with his sister. (Carpentier)</w:t>
      </w:r>
    </w:p>
    <w:p>
      <w:pPr>
        <w:ind w:left="1440"/>
      </w:pPr>
      <w:r>
        <w:rPr>
          <w:rFonts w:ascii="Times New Roman" w:hAnsi="Times New Roman" w:cs="Times New Roman"/>
          <w:sz w:val="24"/>
          <w:sz-cs w:val="24"/>
        </w:rPr>
        <w:t xml:space="preserve"/>
        <w:tab/>
        <w:t xml:space="preserve">•</w:t>
        <w:tab/>
        <w:t xml:space="preserve">Bacon was captivated by Aeschylus' play, and keen to learn more about Greek tragedy, although he said many times that he regretted being unable to read the original in Greek. In 1942, he read the Irish scholar William Bedell Stanford's Aeschylus in his Style, and found the theme of obsessive guilt in The Oresteia to be highly resonant (Peppiatt) </w:t>
      </w:r>
    </w:p>
    <w:p>
      <w:pPr>
        <w:ind w:left="1440"/>
      </w:pPr>
      <w:r>
        <w:rPr>
          <w:rFonts w:ascii="Times New Roman" w:hAnsi="Times New Roman" w:cs="Times New Roman"/>
          <w:sz w:val="24"/>
          <w:sz-cs w:val="24"/>
        </w:rPr>
        <w:t xml:space="preserve"/>
        <w:tab/>
        <w:t xml:space="preserve">•</w:t>
        <w:tab/>
        <w:t xml:space="preserve">In 1984, Bacon told Sylvester that although his painting's subject matter did not have a direct relationship with the poet's work, for him Eliot's work "opened the valves of sensation".</w:t>
      </w:r>
    </w:p>
    <w:p>
      <w:pPr>
        <w:ind w:left="720"/>
      </w:pPr>
      <w:r>
        <w:rPr>
          <w:rFonts w:ascii="Times New Roman" w:hAnsi="Times New Roman" w:cs="Times New Roman"/>
          <w:sz w:val="24"/>
          <w:sz-cs w:val="24"/>
        </w:rPr>
        <w:t xml:space="preserve"/>
        <w:tab/>
        <w:t xml:space="preserve">•</w:t>
        <w:tab/>
        <w:t xml:space="preserve">Bacon's principal mode of expression is introduced: the subjects are anatomically and physically distorted, and the mood is violent, foreboding, and relentlessly physical (Schmied).</w:t>
      </w:r>
    </w:p>
    <w:p>
      <w:pPr>
        <w:ind w:left="720"/>
      </w:pPr>
      <w:r>
        <w:rPr>
          <w:rFonts w:ascii="Times New Roman" w:hAnsi="Times New Roman" w:cs="Times New Roman"/>
          <w:sz w:val="24"/>
          <w:sz-cs w:val="24"/>
        </w:rPr>
        <w:t xml:space="preserve"/>
        <w:tab/>
        <w:t xml:space="preserve">•</w:t>
        <w:tab/>
        <w:t xml:space="preserve">Because the triptych was done in 1944 it is often thought to be informed by World War II.</w:t>
      </w:r>
    </w:p>
    <w:p>
      <w:pPr>
        <w:ind w:left="1440"/>
      </w:pPr>
      <w:r>
        <w:rPr>
          <w:rFonts w:ascii="Times New Roman" w:hAnsi="Times New Roman" w:cs="Times New Roman"/>
          <w:sz w:val="24"/>
          <w:sz-cs w:val="24"/>
        </w:rPr>
        <w:t xml:space="preserve"/>
        <w:tab/>
        <w:t xml:space="preserve">•</w:t>
        <w:tab/>
        <w:t xml:space="preserve">Ziva Amishai-Maisseles observes that the canvas reflects Bacon's own confusion and ambivalence "towards manifestations of violence and power, both of which attracted and repulsed him simultaneously." (Davies)</w:t>
      </w:r>
    </w:p>
    <w:p>
      <w:pPr>
        <w:ind w:left="720"/>
      </w:pPr>
      <w:r>
        <w:rPr>
          <w:rFonts w:ascii="Times New Roman" w:hAnsi="Times New Roman" w:cs="Times New Roman"/>
          <w:sz w:val="24"/>
          <w:sz-cs w:val="24"/>
        </w:rPr>
        <w:t xml:space="preserve"/>
        <w:tab/>
        <w:t xml:space="preserve">•</w:t>
        <w:tab/>
        <w:t xml:space="preserve">Hugh Davies has suggested that of the three figures, that on the left most closely resembles a human form, and that it might represent a mourner at the cross (Davies)</w:t>
      </w:r>
    </w:p>
    <w:p>
      <w:pPr>
        <w:ind w:left="720"/>
      </w:pPr>
      <w:r>
        <w:rPr>
          <w:rFonts w:ascii="Times New Roman" w:hAnsi="Times New Roman" w:cs="Times New Roman"/>
          <w:sz w:val="24"/>
          <w:sz-cs w:val="24"/>
        </w:rPr>
        <w:t xml:space="preserve"/>
        <w:tab/>
        <w:t xml:space="preserve">•</w:t>
        <w:tab/>
        <w:t xml:space="preserve">Bacon recalled, "I was in a bad mood of drinking, and I did it under tremendous hangovers and drink; I sometimes hardly knew what I was doing. I think perhaps the drink helped me to be a bit freer." (Sylvester)</w:t>
      </w:r>
    </w:p>
    <w:p>
      <w:pPr>
        <w:ind w:left="1440"/>
      </w:pPr>
      <w:r>
        <w:rPr>
          <w:rFonts w:ascii="Times New Roman" w:hAnsi="Times New Roman" w:cs="Times New Roman"/>
          <w:sz w:val="24"/>
          <w:sz-cs w:val="24"/>
        </w:rPr>
        <w:t xml:space="preserve"/>
        <w:tab/>
        <w:t xml:space="preserve">•</w:t>
        <w:tab/>
        <w:t xml:space="preserve">I find it interesting of note that he was drunk while painting this piece, and I believe that it adds to the aura of the three Furies he depicted.</w:t>
      </w:r>
    </w:p>
    <w:p>
      <w:pPr>
        <w:ind w:left="720"/>
      </w:pPr>
      <w:r>
        <w:rPr>
          <w:rFonts w:ascii="Times New Roman" w:hAnsi="Times New Roman" w:cs="Times New Roman"/>
          <w:sz w:val="24"/>
          <w:sz-cs w:val="24"/>
        </w:rPr>
        <w:t xml:space="preserve"/>
        <w:tab/>
        <w:t xml:space="preserve">•</w:t>
        <w:tab/>
        <w:t xml:space="preserve">Bacon said in a 1959 letter that the figures in Three Studies were "intended to be used at the base of a large crucifixion which I may still do."(Sylvester)</w:t>
      </w:r>
    </w:p>
    <w:p>
      <w:pPr>
        <w:ind w:left="1440"/>
      </w:pPr>
      <w:r>
        <w:rPr>
          <w:rFonts w:ascii="Times New Roman" w:hAnsi="Times New Roman" w:cs="Times New Roman"/>
          <w:sz w:val="24"/>
          <w:sz-cs w:val="24"/>
        </w:rPr>
        <w:t xml:space="preserve"/>
        <w:tab/>
        <w:t xml:space="preserve">•</w:t>
        <w:tab/>
        <w:t xml:space="preserve">Implying that the figures were conceived as a predella to a larger altarpiece. (Peppiatt)</w:t>
      </w:r>
    </w:p>
    <w:p>
      <w:pPr>
        <w:ind w:left="2160"/>
      </w:pPr>
      <w:r>
        <w:rPr>
          <w:rFonts w:ascii="Times New Roman" w:hAnsi="Times New Roman" w:cs="Times New Roman"/>
          <w:sz w:val="24"/>
          <w:sz-cs w:val="24"/>
        </w:rPr>
        <w:t xml:space="preserve"/>
        <w:tab/>
        <w:t xml:space="preserve">•</w:t>
        <w:tab/>
        <w:t xml:space="preserve">I believe this is where Bacon get his biggest narrative gain in these paintings of the furies, because he said they are supposed to be at the base of the crucifixion scene. Knowing this information allows the knowing audience to interpret these Furies as being the witnesses to the death of Jesus Christ. They then could embody the torment, anguish, and wish for revenge that it is possible his followers felt.</w:t>
      </w:r>
    </w:p>
    <w:p>
      <w:pPr>
        <w:ind w:left="2160"/>
      </w:pPr>
      <w:r>
        <w:rPr>
          <w:rFonts w:ascii="Times New Roman" w:hAnsi="Times New Roman" w:cs="Times New Roman"/>
          <w:sz w:val="24"/>
          <w:sz-cs w:val="24"/>
        </w:rPr>
        <w:t xml:space="preserve"/>
        <w:tab/>
        <w:t xml:space="preserve">•</w:t>
        <w:tab/>
        <w:t xml:space="preserve">Also placing them at the bottom of Christ’s crucifixion scene (even though it isn’t there) signifies the actions that these Furies are chasing, i.e. Orestes committing matricide is indeed above them because it was ordered from a god, who hovers above them.</w:t>
      </w:r>
    </w:p>
    <w:p>
      <w:pPr>
        <w:ind w:left="2160"/>
      </w:pPr>
      <w:r>
        <w:rPr>
          <w:rFonts w:ascii="Times New Roman" w:hAnsi="Times New Roman" w:cs="Times New Roman"/>
          <w:sz w:val="24"/>
          <w:sz-cs w:val="24"/>
        </w:rPr>
        <w:t xml:space="preserve"/>
        <w:tab/>
        <w:t xml:space="preserve">•</w:t>
        <w:tab/>
        <w:t xml:space="preserve">Having the Furies at the bottom of the scene with Christ dying can also be read to signify a dying of some of the power that the gods had over the Greeks as the entered into an age of reason and law brought about through Orestes trial.</w:t>
      </w:r>
    </w:p>
    <w:p>
      <w:pPr>
        <w:ind w:left="1440"/>
      </w:pPr>
      <w:r>
        <w:rPr>
          <w:rFonts w:ascii="Times New Roman" w:hAnsi="Times New Roman" w:cs="Times New Roman"/>
          <w:sz w:val="24"/>
          <w:sz-cs w:val="24"/>
        </w:rPr>
        <w:t xml:space="preserve"/>
        <w:tab/>
        <w:t xml:space="preserve">•</w:t>
        <w:tab/>
        <w:t xml:space="preserve">The Crucifixion itself is conspicuously absent, and there is no trace or shadow of its presence in the panels.</w:t>
      </w:r>
    </w:p>
    <w:p>
      <w:pPr>
        <w:ind w:left="1440"/>
      </w:pPr>
      <w:r>
        <w:rPr>
          <w:rFonts w:ascii="Times New Roman" w:hAnsi="Times New Roman" w:cs="Times New Roman"/>
          <w:sz w:val="24"/>
          <w:sz-cs w:val="24"/>
        </w:rPr>
        <w:t xml:space="preserve"/>
        <w:tab/>
        <w:t xml:space="preserve">•</w:t>
        <w:tab/>
        <w:t xml:space="preserve">Schmied noted that the three Furies have replaced Christ and the two thieves crucified on either side of him.</w:t>
      </w:r>
    </w:p>
    <w:p>
      <w:pPr>
        <w:ind w:left="2160"/>
      </w:pPr>
      <w:r>
        <w:rPr>
          <w:rFonts w:ascii="Times New Roman" w:hAnsi="Times New Roman" w:cs="Times New Roman"/>
          <w:sz w:val="24"/>
          <w:sz-cs w:val="24"/>
        </w:rPr>
        <w:t xml:space="preserve"/>
        <w:tab/>
        <w:t xml:space="preserve">•</w:t>
        <w:tab/>
        <w:t xml:space="preserve">If this is correct than we can interpret it as the Furies and their vengeance being sacrificed so that reason and law could prevail, bringing an end to the “lex talionis”.</w:t>
      </w:r>
    </w:p>
    <w:p>
      <w:pPr>
        <w:ind w:left="720"/>
      </w:pPr>
      <w:r>
        <w:rPr>
          <w:rFonts w:ascii="Times New Roman" w:hAnsi="Times New Roman" w:cs="Times New Roman"/>
          <w:sz w:val="24"/>
          <w:sz-cs w:val="24"/>
        </w:rPr>
        <w:t xml:space="preserve"/>
        <w:tab/>
        <w:t xml:space="preserve">•</w:t>
        <w:tab/>
        <w:t xml:space="preserve">Bacon did not seek to illustrate the narrative of the tale, however. He told the French art critic Michel Leiris, "I could not paint Agamemnon, Clytemnestra or Cassandra, as that would have been merely another kind of historical painting…Therefore I tried to create an image of the effect it produced inside me" (Zweite).</w:t>
      </w:r>
    </w:p>
    <w:p>
      <w:pPr>
        <w:ind w:left="720"/>
      </w:pPr>
      <w:r>
        <w:rPr>
          <w:rFonts w:ascii="Times New Roman" w:hAnsi="Times New Roman" w:cs="Times New Roman"/>
          <w:sz w:val="24"/>
          <w:sz-cs w:val="24"/>
        </w:rPr>
        <w:t xml:space="preserve"/>
        <w:tab/>
        <w:t xml:space="preserve">•</w:t>
        <w:tab/>
        <w:t xml:space="preserve">In 1985, Bacon observed that Aeschylus' phrase "the reek of human blood smiles out at me" brought up in him "the most exciting images, and I often read it…the violence of it brings up the images in me, 'the reek of human blood smiles out at me', well what could be more amazing than that" (Bragg).</w:t>
      </w:r>
    </w:p>
    <w:p>
      <w:pPr>
        <w:ind w:left="720"/>
      </w:pPr>
      <w:r>
        <w:rPr>
          <w:rFonts w:ascii="Times New Roman" w:hAnsi="Times New Roman" w:cs="Times New Roman"/>
          <w:sz w:val="24"/>
          <w:sz-cs w:val="24"/>
        </w:rPr>
        <w:t xml:space="preserve"/>
        <w:tab/>
        <w:t xml:space="preserve">•</w:t>
        <w:tab/>
        <w:t xml:space="preserve">The triptych caused a sensation, and overnight turned Bacon into the most controversial painter in the country.[49]</w:t>
      </w:r>
    </w:p>
    <w:p>
      <w:pPr>
        <w:ind w:left="720"/>
      </w:pPr>
      <w:r>
        <w:rPr>
          <w:rFonts w:ascii="Times New Roman" w:hAnsi="Times New Roman" w:cs="Times New Roman"/>
          <w:sz w:val="24"/>
          <w:sz-cs w:val="24"/>
        </w:rPr>
        <w:t xml:space="preserve"/>
        <w:tab/>
        <w:t xml:space="preserve">•</w:t>
        <w:tab/>
        <w:t xml:space="preserve">Both the public and critics were unnerved by the sight of the work. Russell describes being shocked by "images so unrelievedly awful that the mind shut with a snap at the sight of them. Their anatomy was half-human, half-animal, and they were confined in a low-ceilinged, windowless and oddly proportioned space. They could bite, probe, and suck, and they had very long eel-like necks, but their functioning in other respects was mysterious. Ears and mouths they had, but two at least of them were sightless" (Russell) </w:t>
      </w:r>
    </w:p>
    <w:p>
      <w:pPr>
        <w:ind w:left="720"/>
      </w:pPr>
      <w:r>
        <w:rPr>
          <w:rFonts w:ascii="Times New Roman" w:hAnsi="Times New Roman" w:cs="Times New Roman"/>
          <w:sz w:val="24"/>
          <w:sz-cs w:val="24"/>
        </w:rPr>
        <w:t xml:space="preserve"/>
        <w:tab/>
        <w:t xml:space="preserve">•</w:t>
        <w:tab/>
        <w:t xml:space="preserve">Herbert Furst recalled, "I, I must confess, was so shocked and disturbed by the Surrealism of Francis Bacon that I was glad to escape from this exhibition. Perhaps it was the red (sic) background that made me think of entrails, of an anatomy or a vivisection and feel squeamish.</w:t>
      </w:r>
    </w:p>
    <w:p>
      <w:pPr>
        <w:ind w:left="360"/>
      </w:pPr>
      <w:r>
        <w:rPr>
          <w:rFonts w:ascii="Times New Roman" w:hAnsi="Times New Roman" w:cs="Times New Roman"/>
          <w:sz w:val="24"/>
          <w:sz-cs w:val="24"/>
        </w:rPr>
        <w:t xml:space="preserve"/>
      </w:r>
    </w:p>
    <w:p>
      <w:pPr>
        <w:ind w:left="360"/>
      </w:pPr>
      <w:r>
        <w:rPr>
          <w:rFonts w:ascii="Times New Roman" w:hAnsi="Times New Roman" w:cs="Times New Roman"/>
          <w:sz w:val="24"/>
          <w:sz-cs w:val="24"/>
        </w:rPr>
        <w:t xml:space="preserve"/>
      </w:r>
    </w:p>
    <w:p>
      <w:pPr>
        <w:ind w:left="360"/>
      </w:pPr>
      <w:r>
        <w:rPr>
          <w:rFonts w:ascii="Times New Roman" w:hAnsi="Times New Roman" w:cs="Times New Roman"/>
          <w:sz w:val="24"/>
          <w:sz-cs w:val="24"/>
          <w:b/>
        </w:rPr>
        <w:t xml:space="preserve">Other Editions:</w:t>
      </w:r>
    </w:p>
    <w:p>
      <w:pPr>
        <w:ind w:left="360"/>
      </w:pPr>
      <w:r>
        <w:rPr>
          <w:rFonts w:ascii="Times New Roman" w:hAnsi="Times New Roman" w:cs="Times New Roman"/>
          <w:sz w:val="24"/>
          <w:sz-cs w:val="24"/>
        </w:rPr>
        <w:t xml:space="preserve"/>
      </w:r>
    </w:p>
    <w:p>
      <w:pPr>
        <w:ind w:left="360"/>
      </w:pPr>
      <w:r>
        <w:rPr>
          <w:rFonts w:ascii="Times New Roman" w:hAnsi="Times New Roman" w:cs="Times New Roman"/>
          <w:sz w:val="24"/>
          <w:sz-cs w:val="24"/>
        </w:rPr>
        <w:t xml:space="preserve"/>
      </w:r>
    </w:p>
    <w:p>
      <w:pPr>
        <w:ind w:left="720"/>
      </w:pPr>
      <w:r>
        <w:rPr>
          <w:rFonts w:ascii="Times New Roman" w:hAnsi="Times New Roman" w:cs="Times New Roman"/>
          <w:sz w:val="24"/>
          <w:sz-cs w:val="24"/>
        </w:rPr>
        <w:t xml:space="preserve"/>
        <w:tab/>
        <w:t xml:space="preserve">•</w:t>
        <w:tab/>
        <w:t xml:space="preserve">In 1988, he completed a near-copy of the original “Three Studies”. The second version is much larger than the original, and the orange background has been replaced by a blood-red hue.</w:t>
      </w:r>
    </w:p>
    <w:p>
      <w:pPr>
        <w:ind w:left="720"/>
      </w:pPr>
      <w:r>
        <w:rPr>
          <w:rFonts w:ascii="Times New Roman" w:hAnsi="Times New Roman" w:cs="Times New Roman"/>
          <w:sz w:val="24"/>
          <w:sz-cs w:val="24"/>
        </w:rPr>
        <w:t xml:space="preserve"/>
        <w:tab/>
        <w:t xml:space="preserve">•</w:t>
        <w:tab/>
        <w:t xml:space="preserve">The figures occupy a smaller proportion of the canvas than those in the original</w:t>
      </w:r>
    </w:p>
    <w:p>
      <w:pPr>
        <w:ind w:left="720"/>
      </w:pPr>
      <w:r>
        <w:rPr>
          <w:rFonts w:ascii="Times New Roman" w:hAnsi="Times New Roman" w:cs="Times New Roman"/>
          <w:sz w:val="24"/>
          <w:sz-cs w:val="24"/>
        </w:rPr>
        <w:t xml:space="preserve"/>
        <w:tab/>
        <w:t xml:space="preserve">•</w:t>
        <w:tab/>
        <w:t xml:space="preserve">Critical opinion was mixed; the 1988 triptych drew criticism from those who felt that its more refined painting technique robbed the image of much of its power.</w:t>
      </w:r>
    </w:p>
    <w:p>
      <w:pPr>
        <w:ind w:left="1440"/>
      </w:pPr>
      <w:r>
        <w:rPr>
          <w:rFonts w:ascii="Times New Roman" w:hAnsi="Times New Roman" w:cs="Times New Roman"/>
          <w:sz w:val="24"/>
          <w:sz-cs w:val="24"/>
        </w:rPr>
        <w:t xml:space="preserve"/>
        <w:tab/>
        <w:t xml:space="preserve">•</w:t>
        <w:tab/>
        <w:t xml:space="preserve">Denis Farr suggested that while the second version's larger scale gave it "a majestic quality which is highly effective", its svelte presentation lessened its shock value (Davies)</w:t>
      </w:r>
    </w:p>
    <w:p>
      <w:pPr>
        <w:ind w:left="1440"/>
      </w:pPr>
      <w:r>
        <w:rPr>
          <w:rFonts w:ascii="Times New Roman" w:hAnsi="Times New Roman" w:cs="Times New Roman"/>
          <w:sz w:val="24"/>
          <w:sz-cs w:val="24"/>
        </w:rPr>
        <w:t xml:space="preserve"/>
        <w:tab/>
        <w:t xml:space="preserve">•</w:t>
        <w:tab/>
        <w:t xml:space="preserve">Critic Jonathan Meades felt that while the 1988 triptych was a more polished and painterly work, it lacked the rawness of the original (Peppiatt).</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easterling</dc:creator>
</cp:coreProperties>
</file>

<file path=docProps/meta.xml><?xml version="1.0" encoding="utf-8"?>
<meta xmlns="http://schemas.apple.com/cocoa/2006/metadata">
  <generator>CocoaOOXMLWriter/1265.21</generator>
</meta>
</file>