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D6AABC4" w14:textId="15DE549A" w:rsidR="00970CD9" w:rsidRDefault="00970CD9">
      <w:pPr>
        <w:pStyle w:val="normal0"/>
        <w:rPr>
          <w:color w:val="222222"/>
          <w:sz w:val="20"/>
          <w:highlight w:val="white"/>
        </w:rPr>
      </w:pPr>
      <w:r>
        <w:rPr>
          <w:color w:val="222222"/>
          <w:sz w:val="20"/>
          <w:highlight w:val="white"/>
        </w:rPr>
        <w:t>OGCMA0606IphigeniaTauris_GoetheWhipple</w:t>
      </w:r>
      <w:bookmarkStart w:id="0" w:name="_GoBack"/>
      <w:bookmarkEnd w:id="0"/>
    </w:p>
    <w:p w14:paraId="504C301B" w14:textId="77777777" w:rsidR="00970CD9" w:rsidRDefault="00970CD9">
      <w:pPr>
        <w:pStyle w:val="normal0"/>
        <w:rPr>
          <w:color w:val="222222"/>
          <w:sz w:val="20"/>
          <w:highlight w:val="white"/>
        </w:rPr>
      </w:pPr>
    </w:p>
    <w:p w14:paraId="771CBC9B" w14:textId="77777777" w:rsidR="00545F07" w:rsidRDefault="00970CD9">
      <w:pPr>
        <w:pStyle w:val="normal0"/>
      </w:pPr>
      <w:r>
        <w:rPr>
          <w:color w:val="222222"/>
          <w:sz w:val="20"/>
          <w:highlight w:val="white"/>
        </w:rPr>
        <w:t>Rachel Whipple</w:t>
      </w:r>
    </w:p>
    <w:p w14:paraId="247C8564" w14:textId="77777777" w:rsidR="00545F07" w:rsidRDefault="00970CD9">
      <w:pPr>
        <w:pStyle w:val="normal0"/>
      </w:pPr>
      <w:r>
        <w:rPr>
          <w:color w:val="222222"/>
          <w:sz w:val="20"/>
          <w:highlight w:val="white"/>
        </w:rPr>
        <w:t>640R final “project”</w:t>
      </w:r>
    </w:p>
    <w:p w14:paraId="58160333" w14:textId="77777777" w:rsidR="00545F07" w:rsidRDefault="00970CD9">
      <w:pPr>
        <w:pStyle w:val="normal0"/>
      </w:pPr>
      <w:r>
        <w:rPr>
          <w:color w:val="222222"/>
          <w:sz w:val="20"/>
          <w:highlight w:val="white"/>
        </w:rPr>
        <w:t>12/13/14</w:t>
      </w:r>
    </w:p>
    <w:p w14:paraId="5F85AC5E" w14:textId="77777777" w:rsidR="00545F07" w:rsidRDefault="00545F07">
      <w:pPr>
        <w:pStyle w:val="normal0"/>
      </w:pPr>
    </w:p>
    <w:p w14:paraId="2632811E" w14:textId="77777777" w:rsidR="00545F07" w:rsidRDefault="00970CD9">
      <w:pPr>
        <w:pStyle w:val="normal0"/>
      </w:pPr>
      <w:r>
        <w:rPr>
          <w:color w:val="222222"/>
          <w:sz w:val="20"/>
          <w:highlight w:val="white"/>
        </w:rPr>
        <w:t xml:space="preserve">I read the Kessinger reprint of Goethe’s </w:t>
      </w:r>
      <w:r>
        <w:rPr>
          <w:i/>
          <w:color w:val="222222"/>
          <w:sz w:val="20"/>
          <w:highlight w:val="white"/>
        </w:rPr>
        <w:t>Iphigenia in Tauris</w:t>
      </w:r>
      <w:r>
        <w:rPr>
          <w:color w:val="222222"/>
          <w:sz w:val="20"/>
          <w:highlight w:val="white"/>
        </w:rPr>
        <w:t xml:space="preserve">. I really enjoyed it, and I wish we’d read it in class so that we could all discuss it together. </w:t>
      </w:r>
    </w:p>
    <w:p w14:paraId="7A90361C" w14:textId="77777777" w:rsidR="00545F07" w:rsidRDefault="00545F07">
      <w:pPr>
        <w:pStyle w:val="normal0"/>
      </w:pPr>
    </w:p>
    <w:p w14:paraId="0978C4B0" w14:textId="77777777" w:rsidR="00545F07" w:rsidRDefault="00970CD9">
      <w:pPr>
        <w:pStyle w:val="normal0"/>
      </w:pPr>
      <w:r>
        <w:rPr>
          <w:color w:val="222222"/>
          <w:sz w:val="20"/>
          <w:highlight w:val="white"/>
        </w:rPr>
        <w:t xml:space="preserve">Notes: </w:t>
      </w:r>
    </w:p>
    <w:p w14:paraId="791E58CB" w14:textId="77777777" w:rsidR="00545F07" w:rsidRDefault="00970CD9">
      <w:pPr>
        <w:pStyle w:val="normal0"/>
        <w:numPr>
          <w:ilvl w:val="0"/>
          <w:numId w:val="1"/>
        </w:numPr>
        <w:ind w:hanging="359"/>
        <w:contextualSpacing/>
        <w:rPr>
          <w:color w:val="222222"/>
          <w:sz w:val="20"/>
          <w:highlight w:val="white"/>
        </w:rPr>
      </w:pPr>
      <w:r>
        <w:rPr>
          <w:color w:val="222222"/>
          <w:sz w:val="20"/>
          <w:highlight w:val="white"/>
        </w:rPr>
        <w:t>No deus ex machina! Although we have the intervention of the goddess in saving Iphigenia and transporting her to Tauris before the play began, no gods are necessary to resolve the action within the play.</w:t>
      </w:r>
    </w:p>
    <w:p w14:paraId="1C41612E" w14:textId="77777777" w:rsidR="00545F07" w:rsidRDefault="00970CD9">
      <w:pPr>
        <w:pStyle w:val="normal0"/>
        <w:numPr>
          <w:ilvl w:val="0"/>
          <w:numId w:val="1"/>
        </w:numPr>
        <w:ind w:hanging="359"/>
        <w:contextualSpacing/>
        <w:rPr>
          <w:color w:val="222222"/>
          <w:sz w:val="20"/>
          <w:highlight w:val="white"/>
        </w:rPr>
      </w:pPr>
      <w:r>
        <w:rPr>
          <w:color w:val="222222"/>
          <w:sz w:val="20"/>
          <w:highlight w:val="white"/>
        </w:rPr>
        <w:t>Iphigenia is the moral heart of the play, the ideali</w:t>
      </w:r>
      <w:r>
        <w:rPr>
          <w:color w:val="222222"/>
          <w:sz w:val="20"/>
          <w:highlight w:val="white"/>
        </w:rPr>
        <w:t>zed woman who can calm the passions of men that lead to violence and conflict. She is the resolution.</w:t>
      </w:r>
    </w:p>
    <w:p w14:paraId="1339D7E3" w14:textId="77777777" w:rsidR="00545F07" w:rsidRDefault="00970CD9">
      <w:pPr>
        <w:pStyle w:val="normal0"/>
        <w:numPr>
          <w:ilvl w:val="1"/>
          <w:numId w:val="1"/>
        </w:numPr>
        <w:ind w:hanging="359"/>
        <w:contextualSpacing/>
        <w:rPr>
          <w:color w:val="222222"/>
          <w:sz w:val="20"/>
          <w:highlight w:val="white"/>
        </w:rPr>
      </w:pPr>
      <w:r>
        <w:rPr>
          <w:color w:val="222222"/>
          <w:sz w:val="20"/>
          <w:highlight w:val="white"/>
        </w:rPr>
        <w:t>She acts honestly and with integrity, and is able through her mildness, to dissuade others from compelling her to do that which she finds distasteful or m</w:t>
      </w:r>
      <w:r>
        <w:rPr>
          <w:color w:val="222222"/>
          <w:sz w:val="20"/>
          <w:highlight w:val="white"/>
        </w:rPr>
        <w:t xml:space="preserve">orally ambiguous. </w:t>
      </w:r>
    </w:p>
    <w:p w14:paraId="2D1BDF75" w14:textId="77777777" w:rsidR="00545F07" w:rsidRDefault="00970CD9">
      <w:pPr>
        <w:pStyle w:val="normal0"/>
        <w:numPr>
          <w:ilvl w:val="2"/>
          <w:numId w:val="1"/>
        </w:numPr>
        <w:ind w:hanging="359"/>
        <w:contextualSpacing/>
        <w:rPr>
          <w:color w:val="222222"/>
          <w:sz w:val="20"/>
          <w:highlight w:val="white"/>
        </w:rPr>
      </w:pPr>
      <w:r>
        <w:rPr>
          <w:color w:val="222222"/>
          <w:sz w:val="20"/>
          <w:highlight w:val="white"/>
        </w:rPr>
        <w:t>She denies Thoas’ marriage proposal because she clings to the hope that she could one day return home. When her genealogy is not enough to discourage his suit, she appeals to respect for the goddess.</w:t>
      </w:r>
    </w:p>
    <w:p w14:paraId="215843A1" w14:textId="77777777" w:rsidR="00545F07" w:rsidRDefault="00970CD9">
      <w:pPr>
        <w:pStyle w:val="normal0"/>
        <w:numPr>
          <w:ilvl w:val="2"/>
          <w:numId w:val="1"/>
        </w:numPr>
        <w:ind w:hanging="359"/>
        <w:contextualSpacing/>
        <w:rPr>
          <w:color w:val="222222"/>
          <w:sz w:val="20"/>
          <w:highlight w:val="white"/>
        </w:rPr>
      </w:pPr>
      <w:r>
        <w:rPr>
          <w:color w:val="222222"/>
          <w:sz w:val="20"/>
          <w:highlight w:val="white"/>
        </w:rPr>
        <w:t>She persuades Thoas to stop the pract</w:t>
      </w:r>
      <w:r>
        <w:rPr>
          <w:color w:val="222222"/>
          <w:sz w:val="20"/>
          <w:highlight w:val="white"/>
        </w:rPr>
        <w:t xml:space="preserve">ice of sacrificing strangers </w:t>
      </w:r>
      <w:proofErr w:type="gramStart"/>
      <w:r>
        <w:rPr>
          <w:color w:val="222222"/>
          <w:sz w:val="20"/>
          <w:highlight w:val="white"/>
        </w:rPr>
        <w:t>as her service to Diana is evidently satisfactory without that bloodshed</w:t>
      </w:r>
      <w:proofErr w:type="gramEnd"/>
      <w:r>
        <w:rPr>
          <w:color w:val="222222"/>
          <w:sz w:val="20"/>
          <w:highlight w:val="white"/>
        </w:rPr>
        <w:t xml:space="preserve"> (11). When Iphigenia rejects Thoas’ hand in marriage, he demands that she make the offerings (29). </w:t>
      </w:r>
    </w:p>
    <w:p w14:paraId="52272CD6" w14:textId="77777777" w:rsidR="00545F07" w:rsidRDefault="00970CD9">
      <w:pPr>
        <w:pStyle w:val="normal0"/>
        <w:numPr>
          <w:ilvl w:val="2"/>
          <w:numId w:val="1"/>
        </w:numPr>
        <w:ind w:hanging="359"/>
        <w:contextualSpacing/>
        <w:rPr>
          <w:color w:val="222222"/>
          <w:sz w:val="20"/>
          <w:highlight w:val="white"/>
        </w:rPr>
      </w:pPr>
      <w:r>
        <w:rPr>
          <w:color w:val="222222"/>
          <w:sz w:val="20"/>
          <w:highlight w:val="white"/>
        </w:rPr>
        <w:t>She reveals Pylades’ plot to Thoas to avoid lying to h</w:t>
      </w:r>
      <w:r>
        <w:rPr>
          <w:color w:val="222222"/>
          <w:sz w:val="20"/>
          <w:highlight w:val="white"/>
        </w:rPr>
        <w:t xml:space="preserve">im. Even though Pylades had told her that her desire for honesty essentially sheltered and immature (87), an insult she accepted (“my childish heart has put our fate entirely in his hands, 104), she failed at prevarication and refused outright deception. </w:t>
      </w:r>
    </w:p>
    <w:p w14:paraId="43EFF42B" w14:textId="77777777" w:rsidR="00545F07" w:rsidRDefault="00970CD9">
      <w:pPr>
        <w:pStyle w:val="normal0"/>
        <w:numPr>
          <w:ilvl w:val="1"/>
          <w:numId w:val="1"/>
        </w:numPr>
        <w:ind w:hanging="359"/>
        <w:contextualSpacing/>
        <w:rPr>
          <w:color w:val="222222"/>
          <w:sz w:val="20"/>
          <w:highlight w:val="white"/>
        </w:rPr>
      </w:pPr>
      <w:r w:rsidRPr="004B4623">
        <w:rPr>
          <w:color w:val="0000FF"/>
          <w:sz w:val="20"/>
          <w:highlight w:val="white"/>
        </w:rPr>
        <w:t xml:space="preserve">She is the resolution, not just to this story, </w:t>
      </w:r>
      <w:proofErr w:type="gramStart"/>
      <w:r w:rsidRPr="004B4623">
        <w:rPr>
          <w:color w:val="0000FF"/>
          <w:sz w:val="20"/>
          <w:highlight w:val="white"/>
        </w:rPr>
        <w:t>but</w:t>
      </w:r>
      <w:proofErr w:type="gramEnd"/>
      <w:r w:rsidRPr="004B4623">
        <w:rPr>
          <w:color w:val="0000FF"/>
          <w:sz w:val="20"/>
          <w:highlight w:val="white"/>
        </w:rPr>
        <w:t xml:space="preserve"> for the entire house of Atreus. </w:t>
      </w:r>
      <w:r>
        <w:rPr>
          <w:color w:val="222222"/>
          <w:sz w:val="20"/>
          <w:highlight w:val="white"/>
        </w:rPr>
        <w:t>Her hope, repeated through the play, is that she be restored to her home and family so they can be happy again. She imagines her family mourning her loss (7). She bears no i</w:t>
      </w:r>
      <w:r>
        <w:rPr>
          <w:color w:val="222222"/>
          <w:sz w:val="20"/>
          <w:highlight w:val="white"/>
        </w:rPr>
        <w:t xml:space="preserve">ll will toward Agamemnon, considering him punished more than enough by the thought that he has lost her (25). </w:t>
      </w:r>
    </w:p>
    <w:p w14:paraId="6776FB12" w14:textId="77777777" w:rsidR="00545F07" w:rsidRDefault="00970CD9">
      <w:pPr>
        <w:pStyle w:val="normal0"/>
        <w:numPr>
          <w:ilvl w:val="2"/>
          <w:numId w:val="1"/>
        </w:numPr>
        <w:ind w:hanging="359"/>
        <w:contextualSpacing/>
        <w:rPr>
          <w:color w:val="222222"/>
          <w:sz w:val="20"/>
          <w:highlight w:val="white"/>
        </w:rPr>
      </w:pPr>
      <w:r>
        <w:rPr>
          <w:color w:val="222222"/>
          <w:sz w:val="20"/>
          <w:highlight w:val="white"/>
        </w:rPr>
        <w:t>Once she learns of the disasters that have befallen her family in her absence, she changes her desire for a happy reunion with family to one that</w:t>
      </w:r>
      <w:r>
        <w:rPr>
          <w:color w:val="222222"/>
          <w:sz w:val="20"/>
          <w:highlight w:val="white"/>
        </w:rPr>
        <w:t xml:space="preserve"> reflects her years serving as a priestess: “I might one day return with a pure hand and a pure </w:t>
      </w:r>
      <w:proofErr w:type="gramStart"/>
      <w:r>
        <w:rPr>
          <w:color w:val="222222"/>
          <w:sz w:val="20"/>
          <w:highlight w:val="white"/>
        </w:rPr>
        <w:t>heart</w:t>
      </w:r>
      <w:proofErr w:type="gramEnd"/>
      <w:r>
        <w:rPr>
          <w:color w:val="222222"/>
          <w:sz w:val="20"/>
          <w:highlight w:val="white"/>
        </w:rPr>
        <w:t xml:space="preserve"> to cleanse and to atone the deep-defined dwelling of my fathers” (89). “Let me with a pure heart and a pure hand return to cleanse and to atone our home” </w:t>
      </w:r>
      <w:r>
        <w:rPr>
          <w:color w:val="222222"/>
          <w:sz w:val="20"/>
          <w:highlight w:val="white"/>
        </w:rPr>
        <w:t xml:space="preserve">(102). </w:t>
      </w:r>
    </w:p>
    <w:p w14:paraId="5A8ADF7E" w14:textId="77777777" w:rsidR="00545F07" w:rsidRDefault="00970CD9">
      <w:pPr>
        <w:pStyle w:val="normal0"/>
        <w:numPr>
          <w:ilvl w:val="2"/>
          <w:numId w:val="1"/>
        </w:numPr>
        <w:ind w:hanging="359"/>
        <w:contextualSpacing/>
        <w:rPr>
          <w:color w:val="222222"/>
          <w:sz w:val="20"/>
          <w:highlight w:val="white"/>
        </w:rPr>
      </w:pPr>
      <w:r>
        <w:rPr>
          <w:color w:val="222222"/>
          <w:sz w:val="20"/>
          <w:highlight w:val="white"/>
        </w:rPr>
        <w:t>She alone has happy memories of their entire family (23-24). This memory never existed for Orestes whose resemblance to his father recalls him even though he cannot remember him (34). And in Electra (who is described as having a “hasty, headlong wa</w:t>
      </w:r>
      <w:r>
        <w:rPr>
          <w:color w:val="222222"/>
          <w:sz w:val="20"/>
          <w:highlight w:val="white"/>
        </w:rPr>
        <w:t xml:space="preserve">y” on 109), it was obliterated by subsequent events and her overwhelming desire for revenge. </w:t>
      </w:r>
    </w:p>
    <w:p w14:paraId="1CACCB94" w14:textId="77777777" w:rsidR="00545F07" w:rsidRDefault="00970CD9">
      <w:pPr>
        <w:pStyle w:val="normal0"/>
        <w:numPr>
          <w:ilvl w:val="2"/>
          <w:numId w:val="1"/>
        </w:numPr>
        <w:ind w:hanging="359"/>
        <w:contextualSpacing/>
        <w:rPr>
          <w:color w:val="222222"/>
          <w:sz w:val="20"/>
          <w:highlight w:val="white"/>
        </w:rPr>
      </w:pPr>
      <w:r>
        <w:rPr>
          <w:color w:val="222222"/>
          <w:sz w:val="20"/>
          <w:highlight w:val="white"/>
        </w:rPr>
        <w:t xml:space="preserve">Orestes was convinced that Iphigenia must kill him after she knew </w:t>
      </w:r>
      <w:proofErr w:type="gramStart"/>
      <w:r>
        <w:rPr>
          <w:color w:val="222222"/>
          <w:sz w:val="20"/>
          <w:highlight w:val="white"/>
        </w:rPr>
        <w:t>who</w:t>
      </w:r>
      <w:proofErr w:type="gramEnd"/>
      <w:r>
        <w:rPr>
          <w:color w:val="222222"/>
          <w:sz w:val="20"/>
          <w:highlight w:val="white"/>
        </w:rPr>
        <w:t xml:space="preserve"> he was and what he had done, just as he was compelled (by the oracle and Electra) to kill hi</w:t>
      </w:r>
      <w:r>
        <w:rPr>
          <w:color w:val="222222"/>
          <w:sz w:val="20"/>
          <w:highlight w:val="white"/>
        </w:rPr>
        <w:t xml:space="preserve">s mother, so there is no joy in the reunion for him. His perspective is warped by the furies (65-66). </w:t>
      </w:r>
    </w:p>
    <w:p w14:paraId="2C0AA856" w14:textId="77777777" w:rsidR="00545F07" w:rsidRDefault="00970CD9">
      <w:pPr>
        <w:pStyle w:val="normal0"/>
        <w:numPr>
          <w:ilvl w:val="2"/>
          <w:numId w:val="1"/>
        </w:numPr>
        <w:ind w:hanging="359"/>
        <w:contextualSpacing/>
        <w:rPr>
          <w:color w:val="222222"/>
          <w:sz w:val="20"/>
          <w:highlight w:val="white"/>
        </w:rPr>
      </w:pPr>
      <w:r>
        <w:rPr>
          <w:color w:val="222222"/>
          <w:sz w:val="20"/>
          <w:highlight w:val="white"/>
        </w:rPr>
        <w:lastRenderedPageBreak/>
        <w:t>That Iphigenia does not kill him, and that her prayer (69), combined with his sweet vision of postmortem reconciliation (67-68. Where did Goethe get this</w:t>
      </w:r>
      <w:r>
        <w:rPr>
          <w:color w:val="222222"/>
          <w:sz w:val="20"/>
          <w:highlight w:val="white"/>
        </w:rPr>
        <w:t xml:space="preserve">? At first it seemed horribly ironic to think of Thyestes and Atreus walking around, happy with each other, their children trotting along behind them, but then I realized that I was reading it in entirely the wrong way.) </w:t>
      </w:r>
      <w:proofErr w:type="gramStart"/>
      <w:r>
        <w:rPr>
          <w:color w:val="222222"/>
          <w:sz w:val="20"/>
          <w:highlight w:val="white"/>
        </w:rPr>
        <w:t>further</w:t>
      </w:r>
      <w:proofErr w:type="gramEnd"/>
      <w:r>
        <w:rPr>
          <w:color w:val="222222"/>
          <w:sz w:val="20"/>
          <w:highlight w:val="white"/>
        </w:rPr>
        <w:t xml:space="preserve"> emphasizes the theme of rec</w:t>
      </w:r>
      <w:r>
        <w:rPr>
          <w:color w:val="222222"/>
          <w:sz w:val="20"/>
          <w:highlight w:val="white"/>
        </w:rPr>
        <w:t xml:space="preserve">onciliation. </w:t>
      </w:r>
    </w:p>
    <w:p w14:paraId="2FE8AE3B" w14:textId="77777777" w:rsidR="00545F07" w:rsidRDefault="00970CD9">
      <w:pPr>
        <w:pStyle w:val="normal0"/>
        <w:numPr>
          <w:ilvl w:val="1"/>
          <w:numId w:val="1"/>
        </w:numPr>
        <w:ind w:hanging="359"/>
        <w:contextualSpacing/>
        <w:rPr>
          <w:color w:val="222222"/>
          <w:sz w:val="20"/>
          <w:highlight w:val="white"/>
        </w:rPr>
      </w:pPr>
      <w:r>
        <w:rPr>
          <w:color w:val="222222"/>
          <w:sz w:val="20"/>
          <w:highlight w:val="white"/>
        </w:rPr>
        <w:t>Iphigenia’s isolation has protected her from the gristliness at Mycenae; it is what allows her to hope for peace and resolution with for her family. (Although I would be very curious as to how she and Electra would get along now, especially b</w:t>
      </w:r>
      <w:r>
        <w:rPr>
          <w:color w:val="222222"/>
          <w:sz w:val="20"/>
          <w:highlight w:val="white"/>
        </w:rPr>
        <w:t>ecause in different versions, each is promised to Pylades.)</w:t>
      </w:r>
    </w:p>
    <w:p w14:paraId="0C70CFC0" w14:textId="77777777" w:rsidR="00545F07" w:rsidRDefault="00970CD9">
      <w:pPr>
        <w:pStyle w:val="normal0"/>
        <w:numPr>
          <w:ilvl w:val="0"/>
          <w:numId w:val="1"/>
        </w:numPr>
        <w:ind w:hanging="359"/>
        <w:contextualSpacing/>
        <w:rPr>
          <w:color w:val="222222"/>
          <w:sz w:val="20"/>
          <w:highlight w:val="white"/>
        </w:rPr>
      </w:pPr>
      <w:r>
        <w:rPr>
          <w:color w:val="222222"/>
          <w:sz w:val="20"/>
          <w:highlight w:val="white"/>
        </w:rPr>
        <w:t>Questions this treatment raises:</w:t>
      </w:r>
    </w:p>
    <w:p w14:paraId="5EDEA2B5" w14:textId="77777777" w:rsidR="00545F07" w:rsidRDefault="00970CD9">
      <w:pPr>
        <w:pStyle w:val="normal0"/>
        <w:numPr>
          <w:ilvl w:val="1"/>
          <w:numId w:val="1"/>
        </w:numPr>
        <w:ind w:hanging="359"/>
        <w:contextualSpacing/>
        <w:rPr>
          <w:color w:val="222222"/>
          <w:sz w:val="20"/>
          <w:highlight w:val="white"/>
        </w:rPr>
      </w:pPr>
      <w:r>
        <w:rPr>
          <w:color w:val="222222"/>
          <w:sz w:val="20"/>
          <w:highlight w:val="white"/>
        </w:rPr>
        <w:t xml:space="preserve">The character of women and their role in conflict. </w:t>
      </w:r>
    </w:p>
    <w:p w14:paraId="1E14EF2B" w14:textId="77777777" w:rsidR="00545F07" w:rsidRDefault="00970CD9">
      <w:pPr>
        <w:pStyle w:val="normal0"/>
        <w:numPr>
          <w:ilvl w:val="2"/>
          <w:numId w:val="1"/>
        </w:numPr>
        <w:ind w:hanging="359"/>
        <w:contextualSpacing/>
        <w:rPr>
          <w:color w:val="222222"/>
          <w:sz w:val="20"/>
          <w:highlight w:val="white"/>
        </w:rPr>
      </w:pPr>
      <w:r>
        <w:rPr>
          <w:color w:val="222222"/>
          <w:sz w:val="20"/>
          <w:highlight w:val="white"/>
        </w:rPr>
        <w:t>Women have a consistent character. “As well in good as evil one may more surely reckon on their sameness” (43)</w:t>
      </w:r>
      <w:proofErr w:type="gramStart"/>
      <w:r>
        <w:rPr>
          <w:color w:val="222222"/>
          <w:sz w:val="20"/>
          <w:highlight w:val="white"/>
        </w:rPr>
        <w:t>.</w:t>
      </w:r>
      <w:proofErr w:type="gramEnd"/>
      <w:r>
        <w:rPr>
          <w:color w:val="222222"/>
          <w:sz w:val="20"/>
          <w:highlight w:val="white"/>
        </w:rPr>
        <w:t xml:space="preserve"> </w:t>
      </w:r>
    </w:p>
    <w:p w14:paraId="2428104D" w14:textId="77777777" w:rsidR="00545F07" w:rsidRDefault="00970CD9">
      <w:pPr>
        <w:pStyle w:val="normal0"/>
        <w:numPr>
          <w:ilvl w:val="3"/>
          <w:numId w:val="1"/>
        </w:numPr>
        <w:ind w:hanging="359"/>
        <w:contextualSpacing/>
        <w:rPr>
          <w:color w:val="222222"/>
          <w:sz w:val="20"/>
          <w:highlight w:val="white"/>
        </w:rPr>
      </w:pPr>
      <w:r>
        <w:rPr>
          <w:color w:val="222222"/>
          <w:sz w:val="20"/>
          <w:highlight w:val="white"/>
        </w:rPr>
        <w:t xml:space="preserve">But how does this go along with Iphigenia’s memory of her mother as the “beauteous Clytemnestra” who bore her, Iphigenia, as the first-fruits of love with Agamemnon (24)? I do like that </w:t>
      </w:r>
      <w:proofErr w:type="gramStart"/>
      <w:r>
        <w:rPr>
          <w:color w:val="222222"/>
          <w:sz w:val="20"/>
          <w:highlight w:val="white"/>
        </w:rPr>
        <w:t>Clytemnestra is cast in a sympathetic light by Goethe</w:t>
      </w:r>
      <w:proofErr w:type="gramEnd"/>
      <w:r>
        <w:rPr>
          <w:color w:val="222222"/>
          <w:sz w:val="20"/>
          <w:highlight w:val="white"/>
        </w:rPr>
        <w:t>: she is heartb</w:t>
      </w:r>
      <w:r>
        <w:rPr>
          <w:color w:val="222222"/>
          <w:sz w:val="20"/>
          <w:highlight w:val="white"/>
        </w:rPr>
        <w:t>roken by the death of Iphigenia, and Aegisthus took advantage of that pain to seduce her and plot against Agamemnon (28-29). Is it consistent for Clytemnestra to love and then hate Agamemnon?</w:t>
      </w:r>
    </w:p>
    <w:p w14:paraId="30061EFC" w14:textId="77777777" w:rsidR="00545F07" w:rsidRDefault="00970CD9">
      <w:pPr>
        <w:pStyle w:val="normal0"/>
        <w:numPr>
          <w:ilvl w:val="3"/>
          <w:numId w:val="1"/>
        </w:numPr>
        <w:ind w:hanging="359"/>
        <w:contextualSpacing/>
        <w:rPr>
          <w:color w:val="222222"/>
          <w:sz w:val="20"/>
          <w:highlight w:val="white"/>
        </w:rPr>
      </w:pPr>
      <w:r>
        <w:rPr>
          <w:color w:val="222222"/>
          <w:sz w:val="20"/>
          <w:highlight w:val="white"/>
        </w:rPr>
        <w:t>Or Electra. Is she hasty and careless, the girl who dropped Ores</w:t>
      </w:r>
      <w:r>
        <w:rPr>
          <w:color w:val="222222"/>
          <w:sz w:val="20"/>
          <w:highlight w:val="white"/>
        </w:rPr>
        <w:t>tes and scarred his face, or the “prudent hand [who] conceal’d her brother beneath the roof of Strophius” (55)</w:t>
      </w:r>
      <w:proofErr w:type="gramStart"/>
      <w:r>
        <w:rPr>
          <w:color w:val="222222"/>
          <w:sz w:val="20"/>
          <w:highlight w:val="white"/>
        </w:rPr>
        <w:t>.</w:t>
      </w:r>
      <w:proofErr w:type="gramEnd"/>
      <w:r>
        <w:rPr>
          <w:color w:val="222222"/>
          <w:sz w:val="20"/>
          <w:highlight w:val="white"/>
        </w:rPr>
        <w:t xml:space="preserve"> </w:t>
      </w:r>
    </w:p>
    <w:p w14:paraId="75DF682F" w14:textId="77777777" w:rsidR="00545F07" w:rsidRDefault="00970CD9">
      <w:pPr>
        <w:pStyle w:val="normal0"/>
        <w:numPr>
          <w:ilvl w:val="3"/>
          <w:numId w:val="1"/>
        </w:numPr>
        <w:ind w:hanging="359"/>
        <w:contextualSpacing/>
        <w:rPr>
          <w:color w:val="222222"/>
          <w:sz w:val="20"/>
          <w:highlight w:val="white"/>
        </w:rPr>
      </w:pPr>
      <w:r>
        <w:rPr>
          <w:color w:val="222222"/>
          <w:sz w:val="20"/>
          <w:highlight w:val="white"/>
        </w:rPr>
        <w:t xml:space="preserve">Even though the aphorism is general, about all women, it seems that it only applies to Iphigenia. </w:t>
      </w:r>
    </w:p>
    <w:p w14:paraId="16ACCD96" w14:textId="77777777" w:rsidR="00545F07" w:rsidRDefault="00970CD9">
      <w:pPr>
        <w:pStyle w:val="normal0"/>
        <w:numPr>
          <w:ilvl w:val="2"/>
          <w:numId w:val="1"/>
        </w:numPr>
        <w:ind w:hanging="359"/>
        <w:contextualSpacing/>
        <w:rPr>
          <w:color w:val="222222"/>
          <w:sz w:val="20"/>
          <w:highlight w:val="white"/>
        </w:rPr>
      </w:pPr>
      <w:r>
        <w:rPr>
          <w:color w:val="222222"/>
          <w:sz w:val="20"/>
          <w:highlight w:val="white"/>
        </w:rPr>
        <w:t>Marriage. Not exactly a happy role for a woman: “Confin’d and narrow is the woman’s bliss: obedience to a rude imperious husband her duty and her comfort” (6). Thoas wants to marry her because she has long been a calming voice of mildness for him. And sinc</w:t>
      </w:r>
      <w:r>
        <w:rPr>
          <w:color w:val="222222"/>
          <w:sz w:val="20"/>
          <w:highlight w:val="white"/>
        </w:rPr>
        <w:t xml:space="preserve">e his son and heir </w:t>
      </w:r>
      <w:proofErr w:type="gramStart"/>
      <w:r>
        <w:rPr>
          <w:color w:val="222222"/>
          <w:sz w:val="20"/>
          <w:highlight w:val="white"/>
        </w:rPr>
        <w:t>has</w:t>
      </w:r>
      <w:proofErr w:type="gramEnd"/>
      <w:r>
        <w:rPr>
          <w:color w:val="222222"/>
          <w:sz w:val="20"/>
          <w:highlight w:val="white"/>
        </w:rPr>
        <w:t xml:space="preserve"> recently died (no mention of previous wives, so we can assume she or they are either dead or past childbearing), he needs a new wife to produce a new heir. </w:t>
      </w:r>
    </w:p>
    <w:p w14:paraId="7E57A65D" w14:textId="77777777" w:rsidR="00545F07" w:rsidRDefault="00970CD9">
      <w:pPr>
        <w:pStyle w:val="normal0"/>
        <w:numPr>
          <w:ilvl w:val="2"/>
          <w:numId w:val="1"/>
        </w:numPr>
        <w:ind w:hanging="359"/>
        <w:contextualSpacing/>
        <w:rPr>
          <w:color w:val="222222"/>
          <w:sz w:val="20"/>
          <w:highlight w:val="white"/>
        </w:rPr>
      </w:pPr>
      <w:r>
        <w:rPr>
          <w:color w:val="222222"/>
          <w:sz w:val="20"/>
          <w:highlight w:val="white"/>
        </w:rPr>
        <w:t>Even Arkas seems to feel affection for Iphigenia. How deeply did that feelin</w:t>
      </w:r>
      <w:r>
        <w:rPr>
          <w:color w:val="222222"/>
          <w:sz w:val="20"/>
          <w:highlight w:val="white"/>
        </w:rPr>
        <w:t>g go? Does it create conflict between his regard for her and his duty to Thoas?</w:t>
      </w:r>
    </w:p>
    <w:p w14:paraId="03964ACE" w14:textId="77777777" w:rsidR="00545F07" w:rsidRDefault="00970CD9">
      <w:pPr>
        <w:pStyle w:val="normal0"/>
        <w:numPr>
          <w:ilvl w:val="2"/>
          <w:numId w:val="1"/>
        </w:numPr>
        <w:ind w:hanging="359"/>
        <w:contextualSpacing/>
        <w:rPr>
          <w:color w:val="222222"/>
          <w:sz w:val="20"/>
          <w:highlight w:val="white"/>
        </w:rPr>
      </w:pPr>
      <w:r>
        <w:rPr>
          <w:color w:val="222222"/>
          <w:sz w:val="20"/>
          <w:highlight w:val="white"/>
        </w:rPr>
        <w:t>Iphigenia has a more compassionate and nuance view of the situation than does Pylades: he’s ready to run away with her and the statue, the people of Taurus be damned. They did,</w:t>
      </w:r>
      <w:r>
        <w:rPr>
          <w:color w:val="222222"/>
          <w:sz w:val="20"/>
          <w:highlight w:val="white"/>
        </w:rPr>
        <w:t xml:space="preserve"> after all, want to kill him. But Iphigenia knows these people, has served them for years, and is anguished by Arkas’ reminders of her duty to them (77). She is internally conflicted because she knows both sides, and is isolated from both sides.</w:t>
      </w:r>
    </w:p>
    <w:p w14:paraId="37C06E9E" w14:textId="77777777" w:rsidR="00545F07" w:rsidRDefault="00970CD9">
      <w:pPr>
        <w:pStyle w:val="normal0"/>
        <w:numPr>
          <w:ilvl w:val="2"/>
          <w:numId w:val="1"/>
        </w:numPr>
        <w:ind w:hanging="359"/>
        <w:contextualSpacing/>
        <w:rPr>
          <w:color w:val="222222"/>
          <w:sz w:val="20"/>
          <w:highlight w:val="white"/>
        </w:rPr>
      </w:pPr>
      <w:r>
        <w:rPr>
          <w:color w:val="222222"/>
          <w:sz w:val="20"/>
          <w:highlight w:val="white"/>
        </w:rPr>
        <w:t>Poor Thoas</w:t>
      </w:r>
      <w:r>
        <w:rPr>
          <w:color w:val="222222"/>
          <w:sz w:val="20"/>
          <w:highlight w:val="white"/>
        </w:rPr>
        <w:t>. Is he the model for the classic good guy who doesn’t get the girl?</w:t>
      </w:r>
    </w:p>
    <w:p w14:paraId="6C607C90" w14:textId="77777777" w:rsidR="004B4623" w:rsidRPr="004B4623" w:rsidRDefault="00970CD9">
      <w:pPr>
        <w:pStyle w:val="Heading2"/>
        <w:numPr>
          <w:ilvl w:val="0"/>
          <w:numId w:val="1"/>
        </w:numPr>
        <w:spacing w:line="288" w:lineRule="auto"/>
        <w:ind w:hanging="359"/>
        <w:rPr>
          <w:rFonts w:ascii="Arial" w:eastAsia="Arial" w:hAnsi="Arial" w:cs="Arial"/>
          <w:color w:val="222222"/>
          <w:sz w:val="20"/>
          <w:highlight w:val="white"/>
        </w:rPr>
      </w:pPr>
      <w:bookmarkStart w:id="1" w:name="h.c3t3xc4yw8jp" w:colFirst="0" w:colLast="0"/>
      <w:bookmarkEnd w:id="1"/>
      <w:r>
        <w:rPr>
          <w:rFonts w:ascii="Arial" w:eastAsia="Arial" w:hAnsi="Arial" w:cs="Arial"/>
          <w:color w:val="222222"/>
          <w:sz w:val="20"/>
          <w:highlight w:val="white"/>
        </w:rPr>
        <w:t xml:space="preserve">I glanced at this secondary source: </w:t>
      </w:r>
      <w:r w:rsidR="004B4623">
        <w:rPr>
          <w:rFonts w:ascii="Arial" w:eastAsia="Arial" w:hAnsi="Arial" w:cs="Arial"/>
          <w:color w:val="222222"/>
          <w:sz w:val="20"/>
        </w:rPr>
        <w:br/>
      </w:r>
      <w:r w:rsidR="004B4623">
        <w:rPr>
          <w:rFonts w:ascii="Arial" w:eastAsia="Arial" w:hAnsi="Arial" w:cs="Arial"/>
          <w:color w:val="222222"/>
          <w:sz w:val="20"/>
        </w:rPr>
        <w:t>Lee, Kevin. “</w:t>
      </w:r>
      <w:r w:rsidR="004B4623">
        <w:rPr>
          <w:rFonts w:ascii="Arial" w:eastAsia="Arial" w:hAnsi="Arial" w:cs="Arial"/>
          <w:sz w:val="20"/>
        </w:rPr>
        <w:t xml:space="preserve">GOETHE'S IPHIGENIE AND EURIPIDES' IPHIGENIA IN TAURIS” </w:t>
      </w:r>
      <w:hyperlink r:id="rId6">
        <w:proofErr w:type="gramStart"/>
        <w:r w:rsidR="004B4623" w:rsidRPr="004B4623">
          <w:rPr>
            <w:rFonts w:ascii="Arial" w:eastAsia="Arial" w:hAnsi="Arial" w:cs="Arial"/>
            <w:i/>
            <w:sz w:val="20"/>
          </w:rPr>
          <w:t>AUMLA :</w:t>
        </w:r>
        <w:proofErr w:type="gramEnd"/>
        <w:r w:rsidR="004B4623" w:rsidRPr="004B4623">
          <w:rPr>
            <w:rFonts w:ascii="Arial" w:eastAsia="Arial" w:hAnsi="Arial" w:cs="Arial"/>
            <w:i/>
            <w:sz w:val="20"/>
          </w:rPr>
          <w:t xml:space="preserve"> Journal of the Australasian Universities Modern Language Association,</w:t>
        </w:r>
        <w:r w:rsidR="004B4623">
          <w:rPr>
            <w:rFonts w:ascii="Arial" w:eastAsia="Arial" w:hAnsi="Arial" w:cs="Arial"/>
            <w:sz w:val="20"/>
          </w:rPr>
          <w:t xml:space="preserve"> suppl. SPECIAL EDITION: Commemorating the 250th anniversary of..</w:t>
        </w:r>
      </w:hyperlink>
      <w:r w:rsidR="004B4623">
        <w:rPr>
          <w:rFonts w:ascii="Arial" w:eastAsia="Arial" w:hAnsi="Arial" w:cs="Arial"/>
          <w:sz w:val="20"/>
        </w:rPr>
        <w:t xml:space="preserve"> (Feb 2003): 64-74</w:t>
      </w:r>
      <w:r w:rsidR="004B4623">
        <w:rPr>
          <w:rFonts w:ascii="Arial" w:eastAsia="Arial" w:hAnsi="Arial" w:cs="Arial"/>
          <w:sz w:val="20"/>
        </w:rPr>
        <w:t xml:space="preserve"> </w:t>
      </w:r>
      <w:hyperlink r:id="rId7">
        <w:r>
          <w:rPr>
            <w:rFonts w:ascii="Arial" w:eastAsia="Arial" w:hAnsi="Arial" w:cs="Arial"/>
            <w:color w:val="1155CC"/>
            <w:sz w:val="20"/>
            <w:highlight w:val="white"/>
            <w:u w:val="single"/>
          </w:rPr>
          <w:t>http://search.proquest.com.erl.lib.byu.edu/docview/194686989</w:t>
        </w:r>
      </w:hyperlink>
      <w:r>
        <w:rPr>
          <w:rFonts w:ascii="Arial" w:eastAsia="Arial" w:hAnsi="Arial" w:cs="Arial"/>
          <w:color w:val="222222"/>
          <w:sz w:val="20"/>
          <w:highlight w:val="white"/>
        </w:rPr>
        <w:t xml:space="preserve">, but didn’t have time in the recommended 3 hour window to read it carefully.  </w:t>
      </w:r>
    </w:p>
    <w:p w14:paraId="4C977FFF" w14:textId="77777777" w:rsidR="00545F07" w:rsidRDefault="00545F07">
      <w:pPr>
        <w:pStyle w:val="Heading2"/>
        <w:numPr>
          <w:ilvl w:val="0"/>
          <w:numId w:val="1"/>
        </w:numPr>
        <w:spacing w:line="288" w:lineRule="auto"/>
        <w:ind w:hanging="359"/>
        <w:rPr>
          <w:rFonts w:ascii="Arial" w:eastAsia="Arial" w:hAnsi="Arial" w:cs="Arial"/>
          <w:color w:val="222222"/>
          <w:sz w:val="20"/>
          <w:highlight w:val="white"/>
        </w:rPr>
      </w:pPr>
    </w:p>
    <w:sectPr w:rsidR="00545F0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C321D6"/>
    <w:multiLevelType w:val="multilevel"/>
    <w:tmpl w:val="9350FD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grammar="clean"/>
  <w:defaultTabStop w:val="720"/>
  <w:characterSpacingControl w:val="doNotCompress"/>
  <w:compat>
    <w:compatSetting w:name="compatibilityMode" w:uri="http://schemas.microsoft.com/office/word" w:val="14"/>
  </w:compat>
  <w:rsids>
    <w:rsidRoot w:val="00545F07"/>
    <w:rsid w:val="004B4623"/>
    <w:rsid w:val="00545F07"/>
    <w:rsid w:val="00970C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826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sz w:val="26"/>
    </w:rPr>
  </w:style>
  <w:style w:type="paragraph" w:styleId="Heading3">
    <w:name w:val="heading 3"/>
    <w:basedOn w:val="normal0"/>
    <w:next w:val="normal0"/>
    <w:pPr>
      <w:spacing w:before="160"/>
      <w:contextualSpacing/>
      <w:outlineLvl w:val="2"/>
    </w:pPr>
    <w:rPr>
      <w:rFonts w:ascii="Trebuchet MS" w:eastAsia="Trebuchet MS" w:hAnsi="Trebuchet MS" w:cs="Trebuchet MS"/>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sz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spacing w:before="200"/>
      <w:contextualSpacing/>
      <w:outlineLvl w:val="0"/>
    </w:pPr>
    <w:rPr>
      <w:rFonts w:ascii="Trebuchet MS" w:eastAsia="Trebuchet MS" w:hAnsi="Trebuchet MS" w:cs="Trebuchet MS"/>
      <w:sz w:val="32"/>
    </w:rPr>
  </w:style>
  <w:style w:type="paragraph" w:styleId="Heading2">
    <w:name w:val="heading 2"/>
    <w:basedOn w:val="normal0"/>
    <w:next w:val="normal0"/>
    <w:pPr>
      <w:spacing w:before="200"/>
      <w:contextualSpacing/>
      <w:outlineLvl w:val="1"/>
    </w:pPr>
    <w:rPr>
      <w:rFonts w:ascii="Trebuchet MS" w:eastAsia="Trebuchet MS" w:hAnsi="Trebuchet MS" w:cs="Trebuchet MS"/>
      <w:sz w:val="26"/>
    </w:rPr>
  </w:style>
  <w:style w:type="paragraph" w:styleId="Heading3">
    <w:name w:val="heading 3"/>
    <w:basedOn w:val="normal0"/>
    <w:next w:val="normal0"/>
    <w:pPr>
      <w:spacing w:before="160"/>
      <w:contextualSpacing/>
      <w:outlineLvl w:val="2"/>
    </w:pPr>
    <w:rPr>
      <w:rFonts w:ascii="Trebuchet MS" w:eastAsia="Trebuchet MS" w:hAnsi="Trebuchet MS" w:cs="Trebuchet MS"/>
      <w:color w:val="666666"/>
      <w:sz w:val="24"/>
    </w:rPr>
  </w:style>
  <w:style w:type="paragraph" w:styleId="Heading4">
    <w:name w:val="heading 4"/>
    <w:basedOn w:val="normal0"/>
    <w:next w:val="normal0"/>
    <w:pPr>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contextualSpacing/>
    </w:pPr>
    <w:rPr>
      <w:rFonts w:ascii="Trebuchet MS" w:eastAsia="Trebuchet MS" w:hAnsi="Trebuchet MS" w:cs="Trebuchet MS"/>
      <w:sz w:val="42"/>
    </w:rPr>
  </w:style>
  <w:style w:type="paragraph" w:styleId="Subtitle">
    <w:name w:val="Subtitle"/>
    <w:basedOn w:val="normal0"/>
    <w:next w:val="normal0"/>
    <w:pPr>
      <w:spacing w:after="200"/>
      <w:contextualSpacing/>
    </w:pPr>
    <w:rPr>
      <w:rFonts w:ascii="Trebuchet MS" w:eastAsia="Trebuchet MS" w:hAnsi="Trebuchet MS" w:cs="Trebuchet M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earch.proquest.com.erl.lib.byu.edu/pubidlinkhandler/sng/pubtitle/AUMLA+:+Journal+of+the+Australasian+Universities+Modern+Language+Association/$N/28808/DocView/194686989/fulltext/$B/1?accountid=4488" TargetMode="External"/><Relationship Id="rId7" Type="http://schemas.openxmlformats.org/officeDocument/2006/relationships/hyperlink" Target="http://search.proquest.com.erl.lib.byu.edu/docview/194686989"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950</Words>
  <Characters>5418</Characters>
  <Application>Microsoft Macintosh Word</Application>
  <DocSecurity>0</DocSecurity>
  <Lines>45</Lines>
  <Paragraphs>12</Paragraphs>
  <ScaleCrop>false</ScaleCrop>
  <Company>Brigham Young University, Classics</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640R Oresteia Final.docx</dc:title>
  <cp:lastModifiedBy>Roger Macfarlane</cp:lastModifiedBy>
  <cp:revision>2</cp:revision>
  <dcterms:created xsi:type="dcterms:W3CDTF">2014-12-30T16:57:00Z</dcterms:created>
  <dcterms:modified xsi:type="dcterms:W3CDTF">2014-12-30T16:57:00Z</dcterms:modified>
</cp:coreProperties>
</file>